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4E" w:rsidRDefault="00031B4E">
      <w:pPr>
        <w:pStyle w:val="Title"/>
        <w:spacing w:after="120" w:line="240" w:lineRule="auto"/>
        <w:rPr>
          <w:sz w:val="24"/>
          <w:szCs w:val="24"/>
        </w:rPr>
      </w:pPr>
      <w:bookmarkStart w:id="0" w:name="_GoBack"/>
      <w:bookmarkEnd w:id="0"/>
    </w:p>
    <w:p w:rsidR="00031B4E" w:rsidRDefault="00031B4E">
      <w:pPr>
        <w:pStyle w:val="Title"/>
        <w:spacing w:after="120" w:line="240" w:lineRule="auto"/>
        <w:rPr>
          <w:sz w:val="24"/>
          <w:szCs w:val="24"/>
        </w:rPr>
      </w:pPr>
    </w:p>
    <w:p w:rsidR="00031B4E" w:rsidRDefault="00D74BF6">
      <w:pPr>
        <w:pStyle w:val="Title"/>
        <w:spacing w:after="120" w:line="240" w:lineRule="auto"/>
        <w:rPr>
          <w:sz w:val="24"/>
          <w:szCs w:val="24"/>
        </w:rPr>
      </w:pPr>
      <w:r>
        <w:rPr>
          <w:sz w:val="24"/>
          <w:szCs w:val="24"/>
        </w:rPr>
        <w:t>NOTĂ DE FUNDAMENTARE</w:t>
      </w:r>
    </w:p>
    <w:p w:rsidR="00031B4E" w:rsidRDefault="00031B4E">
      <w:pPr>
        <w:pStyle w:val="Title"/>
        <w:spacing w:after="120" w:line="240" w:lineRule="auto"/>
        <w:ind w:firstLine="720"/>
        <w:jc w:val="left"/>
        <w:rPr>
          <w:sz w:val="24"/>
          <w:szCs w:val="24"/>
        </w:rPr>
      </w:pPr>
    </w:p>
    <w:p w:rsidR="00031B4E" w:rsidRDefault="00031B4E">
      <w:pPr>
        <w:pStyle w:val="Title"/>
        <w:spacing w:after="120" w:line="240" w:lineRule="auto"/>
        <w:ind w:firstLine="720"/>
        <w:jc w:val="left"/>
        <w:rPr>
          <w:sz w:val="24"/>
          <w:szCs w:val="24"/>
        </w:rPr>
      </w:pPr>
    </w:p>
    <w:p w:rsidR="00031B4E" w:rsidRDefault="00D74BF6">
      <w:pPr>
        <w:pStyle w:val="Title"/>
        <w:spacing w:after="120" w:line="240" w:lineRule="auto"/>
        <w:ind w:firstLine="720"/>
        <w:jc w:val="left"/>
        <w:rPr>
          <w:sz w:val="24"/>
          <w:szCs w:val="24"/>
        </w:rPr>
      </w:pPr>
      <w:r>
        <w:rPr>
          <w:sz w:val="24"/>
          <w:szCs w:val="24"/>
        </w:rPr>
        <w:t>Secțiunea 1</w:t>
      </w:r>
    </w:p>
    <w:p w:rsidR="00031B4E" w:rsidRDefault="00D74BF6">
      <w:pPr>
        <w:pStyle w:val="Title"/>
        <w:spacing w:after="120" w:line="240" w:lineRule="auto"/>
        <w:ind w:firstLine="720"/>
        <w:jc w:val="left"/>
        <w:rPr>
          <w:sz w:val="24"/>
          <w:szCs w:val="24"/>
        </w:rPr>
      </w:pPr>
      <w:r>
        <w:rPr>
          <w:sz w:val="24"/>
          <w:szCs w:val="24"/>
        </w:rPr>
        <w:t>Titlul proiectului de act normativ</w:t>
      </w:r>
    </w:p>
    <w:tbl>
      <w:tblPr>
        <w:tblW w:w="10519" w:type="dxa"/>
        <w:tblInd w:w="221" w:type="dxa"/>
        <w:tblLayout w:type="fixed"/>
        <w:tblLook w:val="04A0" w:firstRow="1" w:lastRow="0" w:firstColumn="1" w:lastColumn="0" w:noHBand="0" w:noVBand="1"/>
      </w:tblPr>
      <w:tblGrid>
        <w:gridCol w:w="10519"/>
      </w:tblGrid>
      <w:tr w:rsidR="00031B4E">
        <w:trPr>
          <w:trHeight w:val="1098"/>
        </w:trPr>
        <w:tc>
          <w:tcPr>
            <w:tcW w:w="10519" w:type="dxa"/>
            <w:tcBorders>
              <w:top w:val="single" w:sz="4" w:space="0" w:color="000000"/>
              <w:left w:val="single" w:sz="4" w:space="0" w:color="000000"/>
              <w:bottom w:val="single" w:sz="4" w:space="0" w:color="000000"/>
              <w:right w:val="single" w:sz="4" w:space="0" w:color="000000"/>
            </w:tcBorders>
          </w:tcPr>
          <w:p w:rsidR="00031B4E" w:rsidRDefault="00031B4E">
            <w:pPr>
              <w:widowControl w:val="0"/>
              <w:jc w:val="center"/>
              <w:rPr>
                <w:b/>
              </w:rPr>
            </w:pPr>
          </w:p>
          <w:p w:rsidR="00031B4E" w:rsidRDefault="00031B4E">
            <w:pPr>
              <w:widowControl w:val="0"/>
              <w:jc w:val="center"/>
              <w:rPr>
                <w:b/>
              </w:rPr>
            </w:pPr>
          </w:p>
          <w:p w:rsidR="00031B4E" w:rsidRDefault="00D74BF6">
            <w:pPr>
              <w:widowControl w:val="0"/>
              <w:jc w:val="center"/>
            </w:pPr>
            <w:r>
              <w:rPr>
                <w:b/>
              </w:rPr>
              <w:t>ORDONANȚĂ DE URGENȚĂ</w:t>
            </w:r>
          </w:p>
          <w:p w:rsidR="00031B4E" w:rsidRDefault="00D74BF6">
            <w:pPr>
              <w:widowControl w:val="0"/>
              <w:jc w:val="center"/>
            </w:pPr>
            <w:r>
              <w:rPr>
                <w:b/>
              </w:rPr>
              <w:t>pentru modificarea unor acte normative în domeniul e-Transport, e-TVA și e- Factura, precum și pentru reglementarea unor măsuri fiscal-bugetare</w:t>
            </w:r>
          </w:p>
          <w:p w:rsidR="00031B4E" w:rsidRDefault="00031B4E">
            <w:pPr>
              <w:widowControl w:val="0"/>
              <w:jc w:val="center"/>
              <w:rPr>
                <w:b/>
              </w:rPr>
            </w:pPr>
          </w:p>
          <w:p w:rsidR="00031B4E" w:rsidRDefault="00031B4E">
            <w:pPr>
              <w:widowControl w:val="0"/>
              <w:jc w:val="center"/>
              <w:rPr>
                <w:b/>
                <w:lang w:eastAsia="ro-RO"/>
              </w:rPr>
            </w:pPr>
          </w:p>
        </w:tc>
      </w:tr>
    </w:tbl>
    <w:p w:rsidR="00031B4E" w:rsidRDefault="00031B4E">
      <w:pPr>
        <w:spacing w:after="120"/>
        <w:ind w:firstLine="720"/>
        <w:jc w:val="both"/>
        <w:rPr>
          <w:b/>
          <w:lang w:eastAsia="ro-RO"/>
        </w:rPr>
      </w:pPr>
    </w:p>
    <w:p w:rsidR="00031B4E" w:rsidRDefault="00D74BF6">
      <w:pPr>
        <w:spacing w:after="120"/>
        <w:ind w:firstLine="720"/>
        <w:jc w:val="both"/>
      </w:pPr>
      <w:r>
        <w:rPr>
          <w:b/>
          <w:lang w:eastAsia="ro-RO"/>
        </w:rPr>
        <w:t xml:space="preserve">Secțiunea a 2-a  </w:t>
      </w:r>
    </w:p>
    <w:p w:rsidR="00031B4E" w:rsidRDefault="00D74BF6">
      <w:pPr>
        <w:spacing w:after="120"/>
        <w:ind w:firstLine="720"/>
        <w:jc w:val="both"/>
      </w:pPr>
      <w:r>
        <w:rPr>
          <w:b/>
          <w:lang w:eastAsia="ro-RO"/>
        </w:rPr>
        <w:t xml:space="preserve">Motivul emiterii actului normativ </w:t>
      </w:r>
    </w:p>
    <w:tbl>
      <w:tblPr>
        <w:tblW w:w="10490" w:type="dxa"/>
        <w:tblInd w:w="221" w:type="dxa"/>
        <w:tblLayout w:type="fixed"/>
        <w:tblLook w:val="04A0" w:firstRow="1" w:lastRow="0" w:firstColumn="1" w:lastColumn="0" w:noHBand="0" w:noVBand="1"/>
      </w:tblPr>
      <w:tblGrid>
        <w:gridCol w:w="10490"/>
      </w:tblGrid>
      <w:tr w:rsidR="00031B4E">
        <w:trPr>
          <w:trHeight w:val="841"/>
        </w:trPr>
        <w:tc>
          <w:tcPr>
            <w:tcW w:w="1049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line="276" w:lineRule="auto"/>
              <w:jc w:val="both"/>
              <w:rPr>
                <w:rFonts w:cs="Segoe UI"/>
                <w:b/>
                <w:bCs/>
                <w:iCs/>
              </w:rPr>
            </w:pPr>
          </w:p>
          <w:p w:rsidR="00031B4E" w:rsidRDefault="00D74BF6">
            <w:pPr>
              <w:widowControl w:val="0"/>
              <w:spacing w:line="276" w:lineRule="auto"/>
              <w:jc w:val="both"/>
            </w:pPr>
            <w:r>
              <w:rPr>
                <w:rFonts w:cs="Segoe UI"/>
                <w:b/>
                <w:bCs/>
                <w:iCs/>
              </w:rPr>
              <w:t>2.1 Sursa proiectului de act normativ</w:t>
            </w:r>
          </w:p>
          <w:p w:rsidR="008029CB" w:rsidRDefault="008029CB" w:rsidP="008029CB">
            <w:pPr>
              <w:ind w:leftChars="106" w:left="254" w:right="142" w:firstLineChars="15" w:firstLine="36"/>
              <w:jc w:val="both"/>
            </w:pPr>
          </w:p>
          <w:p w:rsidR="008029CB" w:rsidRPr="002443F7" w:rsidRDefault="008029CB" w:rsidP="008B188A">
            <w:pPr>
              <w:ind w:right="142"/>
              <w:jc w:val="both"/>
            </w:pPr>
            <w:r w:rsidRPr="002443F7">
              <w:t>Iniţiativa Ministerului Finanțelor, având în vedere:</w:t>
            </w:r>
          </w:p>
          <w:p w:rsidR="00031B4E" w:rsidRDefault="00D74BF6">
            <w:pPr>
              <w:pStyle w:val="ListParagraph"/>
              <w:widowControl w:val="0"/>
              <w:spacing w:line="276" w:lineRule="auto"/>
              <w:ind w:left="-29" w:right="-40"/>
              <w:jc w:val="both"/>
              <w:rPr>
                <w:rFonts w:ascii="Times New Roman" w:hAnsi="Times New Roman"/>
              </w:rPr>
            </w:pPr>
            <w:r>
              <w:rPr>
                <w:rFonts w:ascii="Times New Roman" w:eastAsiaTheme="majorEastAsia" w:hAnsi="Times New Roman"/>
                <w:color w:val="000000" w:themeColor="text1"/>
              </w:rPr>
              <w:t xml:space="preserve">-  necesitățile funcționale privind aplicabilitatea cadrului normativ privind politicile publice adoptate la nivelul Ministerului Finanțelor, </w:t>
            </w:r>
            <w:r>
              <w:rPr>
                <w:rFonts w:ascii="Times New Roman" w:hAnsi="Times New Roman"/>
              </w:rPr>
              <w:t>propunerile și observațiile rezultate din activitatea Agenției Naționale de Administrare Fiscală, precum și aspectele semnalate de către organizațiile de profil rezultate din implementarea Sistemului RO e-transport, Sistemului informatic Național RO e-TVA și Sistemului național RO e-Factura,</w:t>
            </w:r>
          </w:p>
          <w:p w:rsidR="00031B4E" w:rsidRDefault="00D74BF6">
            <w:pPr>
              <w:widowControl w:val="0"/>
              <w:spacing w:line="276" w:lineRule="auto"/>
              <w:ind w:right="-40"/>
              <w:jc w:val="both"/>
              <w:rPr>
                <w:rFonts w:cs="Segoe UI"/>
                <w:bCs/>
                <w:iCs/>
              </w:rPr>
            </w:pPr>
            <w:r>
              <w:rPr>
                <w:rFonts w:cs="Segoe UI"/>
                <w:bCs/>
                <w:iCs/>
              </w:rPr>
              <w:t>- decizia Guvernului României de majorare a nivelului salariului minim brut pe țară garantat în plată începând cu veniturile aferente lunii iulie 2024, la nivelul de 3.700 lei, corelată cu majorarea nivelului sumei netaxabile la 300 lei/lună, cu aceeași dată,</w:t>
            </w:r>
          </w:p>
          <w:p w:rsidR="00031B4E" w:rsidRDefault="00D74BF6">
            <w:pPr>
              <w:widowControl w:val="0"/>
              <w:spacing w:line="276" w:lineRule="auto"/>
              <w:ind w:right="-40"/>
              <w:jc w:val="both"/>
              <w:rPr>
                <w:rFonts w:cs="Segoe UI"/>
                <w:bCs/>
                <w:iCs/>
              </w:rPr>
            </w:pPr>
            <w:r>
              <w:rPr>
                <w:rFonts w:cs="Segoe UI"/>
                <w:bCs/>
                <w:iCs/>
              </w:rPr>
              <w:t xml:space="preserve">- necesitatea susținerii obiectivului privind creșterea veniturilor nete ale persoanelor care realizează venituri din salarii la nivelul salariului minim brut pe țară garantat în plată, </w:t>
            </w:r>
          </w:p>
          <w:p w:rsidR="00031B4E" w:rsidRDefault="00D74BF6">
            <w:pPr>
              <w:widowControl w:val="0"/>
              <w:spacing w:line="276" w:lineRule="auto"/>
              <w:ind w:right="-40"/>
              <w:jc w:val="both"/>
              <w:rPr>
                <w:rFonts w:cs="Segoe UI"/>
                <w:bCs/>
                <w:iCs/>
              </w:rPr>
            </w:pPr>
            <w:r>
              <w:rPr>
                <w:rFonts w:cs="Segoe UI"/>
                <w:bCs/>
                <w:iCs/>
              </w:rPr>
              <w:t>- faptul că în lipsa reglementării, cu aceeași dată, a ajustării plafonului lunar de 4000 lei reprezentând venit brut realizat din salarii și asimilate salariilor, facilitatea fiscală referitoare la neimpozitarea și neincluderea în baza lunară de calcul al contribuțiilor sociale obligatorii, a sumei de 300 de lei lunar, îşi pierde din eficacitate,</w:t>
            </w:r>
          </w:p>
          <w:p w:rsidR="00031B4E" w:rsidRDefault="00D74BF6">
            <w:pPr>
              <w:widowControl w:val="0"/>
              <w:spacing w:line="276" w:lineRule="auto"/>
              <w:jc w:val="both"/>
            </w:pPr>
            <w:r>
              <w:rPr>
                <w:rFonts w:cs="Segoe UI"/>
                <w:b/>
                <w:bCs/>
                <w:iCs/>
              </w:rPr>
              <w:t>2.2 Descrierea situației actuale</w:t>
            </w:r>
          </w:p>
          <w:p w:rsidR="00031B4E" w:rsidRDefault="00D74BF6">
            <w:pPr>
              <w:widowControl w:val="0"/>
              <w:spacing w:line="276" w:lineRule="auto"/>
              <w:jc w:val="both"/>
            </w:pPr>
            <w:r>
              <w:rPr>
                <w:rFonts w:eastAsiaTheme="minorHAnsi" w:cstheme="minorBidi"/>
              </w:rPr>
              <w:t xml:space="preserve"> Având în vedere fenomenul de fraudă și evaziune fiscală ce se manifestă în domeniul comercializării bunurilor pe teritoriul național și ținând cont de faptul că activitățile comerciale menționate includ o componentă de transport, s-a impus adoptarea unui act normativ în vederea monitorizării transporturilor de bunuri cu risc fiscal ridicat.</w:t>
            </w:r>
          </w:p>
          <w:p w:rsidR="00031B4E" w:rsidRDefault="00D74BF6">
            <w:pPr>
              <w:widowControl w:val="0"/>
              <w:spacing w:line="276" w:lineRule="auto"/>
              <w:jc w:val="both"/>
            </w:pPr>
            <w:r>
              <w:rPr>
                <w:rFonts w:eastAsiaTheme="minorHAnsi" w:cstheme="minorBidi"/>
              </w:rPr>
              <w:t xml:space="preserve">Astfel, Guvernul României a aprobat Ordonanța de urgență a Guvernului nr. 41/2022 prin care se stabilește implementarea sistemului electronic integrat RO e-Transport de monitorizare a transporturilor rutiere de </w:t>
            </w:r>
            <w:r>
              <w:rPr>
                <w:rFonts w:eastAsiaTheme="minorHAnsi" w:cstheme="minorBidi"/>
              </w:rPr>
              <w:lastRenderedPageBreak/>
              <w:t>bunuri cu risc fiscal ridicat. Sistemul monitorizează în timp real deplasarea bunurilor cu risc fiscal ridicat pe teritoriul României, astfel: transportul bunurilor achiziționate și livrate intracomunitar, transportul bunurilor care fac obiectul operațiunilor vamale, transportul bunurilor între două locații situate pe teritoriul național.</w:t>
            </w:r>
          </w:p>
          <w:p w:rsidR="00031B4E" w:rsidRDefault="00031B4E">
            <w:pPr>
              <w:widowControl w:val="0"/>
              <w:spacing w:line="276" w:lineRule="auto"/>
              <w:jc w:val="both"/>
              <w:rPr>
                <w:rFonts w:eastAsiaTheme="minorHAnsi" w:cstheme="minorBidi"/>
              </w:rPr>
            </w:pPr>
          </w:p>
          <w:p w:rsidR="00031B4E" w:rsidRDefault="00D74BF6">
            <w:pPr>
              <w:widowControl w:val="0"/>
              <w:spacing w:after="120" w:line="276" w:lineRule="auto"/>
              <w:jc w:val="both"/>
            </w:pPr>
            <w:r>
              <w:rPr>
                <w:rFonts w:eastAsiaTheme="minorHAnsi" w:cstheme="minorBidi"/>
              </w:rPr>
              <w:t>Prin Ordonanța de urgență a Guvernului nr. 115/2023 privind unele măsuri fiscal-bugetare în domeniul cheltuielilor publice, pentru consolidare fiscală, combaterea evaziunii fiscale, pentru modificarea şi completarea unor acte normative, precum şi pentru prorogarea unor termene, a fost modificată și completată OUG nr. 41/2022, în sensul modificării conceptului de monitorizare a tranzacțiilor bunurilor cu risc fiscal ridicat prin extindere la monitorizarea bunurilor care fac obiectul transporturilor rutiere  internaționale. Deși noile obligații au intrat în vigoare la data publicării actului normativ, sancțiunile contravenționale, stabilite la art. 13^1 din OUG nr. 41/2022, urmează să se aplice începând cu data de 1 iulie 2024, potrivit prevederilor art. LXXV din  OUG nr. 115/2023.</w:t>
            </w:r>
          </w:p>
          <w:p w:rsidR="00031B4E" w:rsidRDefault="00D74BF6">
            <w:pPr>
              <w:widowControl w:val="0"/>
              <w:spacing w:line="276" w:lineRule="auto"/>
              <w:jc w:val="both"/>
            </w:pPr>
            <w:r>
              <w:rPr>
                <w:rFonts w:eastAsiaTheme="minorHAnsi" w:cstheme="minorBidi"/>
              </w:rPr>
              <w:t>Contribuabilii, asociațiile/federațiile/confederațiile acestora, precum și alți parteneri instituționali și-au manifestat sprijinul pentru autoritățile fiscale în implementarea sistemului RO e-Transport, apreciind că acesta este unul promițător, care va asigura tratamentul echitabil al transporturilor de bunuri pe teritoriul României, eliminând o parte considerabilă a aspectelor ce țin de practici evazioniste adoptate de către unii contribuabili. De asemenea, se apreciază că această măsură este cu atât mai utilă, cu cât completează celelalte proiecte de digitalizare din domeniul fiscal.</w:t>
            </w:r>
          </w:p>
          <w:p w:rsidR="00031B4E" w:rsidRDefault="00D74BF6">
            <w:pPr>
              <w:pStyle w:val="BodyText"/>
              <w:widowControl w:val="0"/>
              <w:spacing w:line="276" w:lineRule="auto"/>
              <w:jc w:val="both"/>
              <w:rPr>
                <w:rFonts w:eastAsiaTheme="minorHAnsi" w:cstheme="minorBidi"/>
              </w:rPr>
            </w:pPr>
            <w:r>
              <w:rPr>
                <w:rFonts w:eastAsiaTheme="minorHAnsi" w:cstheme="minorBidi"/>
              </w:rPr>
              <w:t>Cu toate acestea, reprezentanții mediului de afaceri din domeniul transportului internațional de bunuri care desfășoară activități cu pondere semnificativă în economia națională, au solicitat amânarea termenului stabilit de Ordonanța de urgență a Guvernului nr.115/2023, de la care se pot sancționa faptele reglementate la art. 13^1 din OUG nr. 41/2022, întrucât este necesară o perioadă mai lungă de timp pentru adaptarea sistemelor informatice și atragerea unor resurse umane suplimentare.</w:t>
            </w:r>
          </w:p>
          <w:p w:rsidR="00031B4E" w:rsidRDefault="00031B4E">
            <w:pPr>
              <w:pStyle w:val="BodyText"/>
              <w:widowControl w:val="0"/>
              <w:jc w:val="both"/>
              <w:rPr>
                <w:rFonts w:eastAsiaTheme="minorHAnsi" w:cstheme="minorBidi"/>
              </w:rPr>
            </w:pPr>
          </w:p>
          <w:p w:rsidR="00031B4E" w:rsidRDefault="00D74BF6">
            <w:pPr>
              <w:widowControl w:val="0"/>
              <w:spacing w:line="276" w:lineRule="auto"/>
              <w:ind w:right="-40"/>
              <w:jc w:val="both"/>
            </w:pPr>
            <w:r>
              <w:t>Prin art. 11 din Ordonanța de urgență a Guvernului nr. 116/2023 privind unele măsuri pentru gestionarea şi evidenţierea veniturilor curente ale bugetului public prin implementarea unor proiecte de digitalizare, a fost reglementată înființarea, începând cu data de 1 ianuarie 2024,  la nivelul Ministerului Finanţelor, a Comisiei centrale de monitorizare a execuţiei veniturilor bugetare, denumită în continuare C.C.M.E.V.B., ca organ de analiză al Ministerului Finanţelor privind execuţia veniturilor bugetare şi monitorizarea evoluţiei acestora.  Potrivit actului normativ, Secretariatul C.C.M.E.V.B. este asigurat prin grija Agenţiei Naţionale de Administrare Fiscală, care răspunde de întocmirea şi arhivarea lucrărilor şedinţelor desfăşurate de comisie.</w:t>
            </w:r>
          </w:p>
          <w:p w:rsidR="00031B4E" w:rsidRDefault="00031B4E">
            <w:pPr>
              <w:pStyle w:val="ListParagraph"/>
              <w:widowControl w:val="0"/>
              <w:spacing w:line="276" w:lineRule="auto"/>
              <w:ind w:left="-15" w:right="-40"/>
              <w:jc w:val="both"/>
              <w:rPr>
                <w:rFonts w:ascii="Times New Roman" w:hAnsi="Times New Roman"/>
              </w:rPr>
            </w:pPr>
          </w:p>
          <w:p w:rsidR="00031B4E" w:rsidRDefault="00D74BF6">
            <w:pPr>
              <w:widowControl w:val="0"/>
              <w:spacing w:line="276" w:lineRule="auto"/>
              <w:ind w:right="-40"/>
              <w:jc w:val="both"/>
            </w:pPr>
            <w:r>
              <w:t xml:space="preserve">Conform prevederilor Ordonanței de urgență a Guvernului nr. 116/2023 privind unele măsuri pentru gestionarea şi evidenţierea veniturilor curente ale bugetului public prin implementarea unor proiecte de digitalizare și ale Ordonanței de urgență a Guvernului nr.  70/2024 privind unele măsuri de implementare şi utilizare a decontului precompletat RO e-TVA şi valorificarea datelor şi informaţiilor prin implementarea unui sistem de guvernanţă specific, precum şi alte măsuri fiscale, decontul precompletat RO e-TVA se transmite persoanelor impozabile înregistrate în scopuri de TVA până la data de 20 inclusiv a fiecărei luni următoare încheierii perioadei fiscale. </w:t>
            </w:r>
          </w:p>
          <w:p w:rsidR="00031B4E" w:rsidRDefault="00D74BF6">
            <w:pPr>
              <w:widowControl w:val="0"/>
              <w:jc w:val="both"/>
            </w:pPr>
            <w:r>
              <w:t xml:space="preserve">În situația în care se constată diferențe semnificative între datele din decontul precompletat e-TVA și datele înscrise în decontul de taxă depus de persoana impozabilă, până la data de 5 a lunii următoare termenului </w:t>
            </w:r>
            <w:r>
              <w:lastRenderedPageBreak/>
              <w:t>legal de depunere a decontului de taxă pe valoarea adăugată se transmite acestora o notificare "Diferenţe operaţiuni impozabile RO e-TVA".</w:t>
            </w:r>
          </w:p>
          <w:p w:rsidR="00031B4E" w:rsidRDefault="00D74BF6">
            <w:pPr>
              <w:widowControl w:val="0"/>
              <w:jc w:val="both"/>
            </w:pPr>
            <w:r>
              <w:t>Persoana impozabilă are obligaţia transmiterii Notei justificative privind diferenţe RO e-TVA prin mijloacele electronice, ca rezultat al verificărilor realizate asupra diferenţelor comunicate prin notificarea "Diferenţe operaţiuni impozabile RO e-TVA", în termen de 10 zile de la data primirii acestei notificări.</w:t>
            </w:r>
          </w:p>
          <w:p w:rsidR="00031B4E" w:rsidRDefault="00D74BF6">
            <w:pPr>
              <w:widowControl w:val="0"/>
              <w:jc w:val="both"/>
            </w:pPr>
            <w:r>
              <w:t>La art. 3 alin. (3) din Ordonanța de urgență a Guvernului nr. 116/2023 se prevede  că persoanele impozabile înregistrate în scopuri de TVA care utilizează Sistemul informatic naţional RO e-TVA, au următoarele obligaţii:</w:t>
            </w:r>
          </w:p>
          <w:p w:rsidR="00031B4E" w:rsidRDefault="00D74BF6">
            <w:pPr>
              <w:widowControl w:val="0"/>
              <w:jc w:val="both"/>
            </w:pPr>
            <w:r>
              <w:t xml:space="preserve">    a) să verifice, să modifice şi să completeze informaţiile din decontul de TVA potrivit stării de fapt fiscale reale;</w:t>
            </w:r>
          </w:p>
          <w:p w:rsidR="00031B4E" w:rsidRDefault="00D74BF6">
            <w:pPr>
              <w:widowControl w:val="0"/>
              <w:jc w:val="both"/>
            </w:pPr>
            <w:r>
              <w:t xml:space="preserve">    b) să semneze şi să depună decontul de TVA conform legislaţiei fiscale în vigoare.</w:t>
            </w:r>
          </w:p>
          <w:p w:rsidR="00031B4E" w:rsidRDefault="00D74BF6">
            <w:pPr>
              <w:widowControl w:val="0"/>
              <w:jc w:val="both"/>
            </w:pPr>
            <w:r>
              <w:t>În prezent, conform art. 7 alin. (1) din Ordonanța de urgență a Guvernului  nr. 70/2024, constituie contravenţie şi se sancţionează cu amendă de la 2.000 lei la 10.000 lei, dacă, potrivit legii, nu este săvârşită în astfel de condiţii încât să constituie infracţiune, neîndeplinirea obligaţiilor persoanei impozabile de transmitere a Notei justificative privind diferenţe RO e-TVA și de  respectare a termenului de transmitere a acesteia.</w:t>
            </w:r>
          </w:p>
          <w:p w:rsidR="00031B4E" w:rsidRDefault="00D74BF6">
            <w:pPr>
              <w:widowControl w:val="0"/>
              <w:jc w:val="both"/>
            </w:pPr>
            <w:r>
              <w:t>Conform prevederilor art. 16 din Ordonanța de urgență a Guvernului  nr. 70/2024, prevederile art. 6 – 8 intră în vigoare la 90 de zile de la data publicării în Monitorul Oficial al României, Partea I, a acestei ordonanţe de urgenţă.</w:t>
            </w:r>
          </w:p>
          <w:p w:rsidR="00031B4E" w:rsidRDefault="00D74BF6">
            <w:pPr>
              <w:widowControl w:val="0"/>
              <w:jc w:val="both"/>
            </w:pPr>
            <w:r>
              <w:t>Prevederile referitoare la decontul precompletat se aplică și în cazul persoanelor care aplică sistemul  TVA la încasare.</w:t>
            </w:r>
          </w:p>
          <w:p w:rsidR="00031B4E" w:rsidRDefault="00031B4E">
            <w:pPr>
              <w:widowControl w:val="0"/>
              <w:jc w:val="both"/>
            </w:pPr>
          </w:p>
          <w:p w:rsidR="00031B4E" w:rsidRDefault="00D74BF6">
            <w:pPr>
              <w:widowControl w:val="0"/>
              <w:spacing w:line="276" w:lineRule="auto"/>
              <w:jc w:val="both"/>
            </w:pPr>
            <w:r>
              <w:t>Potrivit prevederilor art. 10 alin. (1) din Ordonanța de urgență a Guvernului nr. 120/2021 Ordonanţa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piață, punerii la dispoziţie pe piaţă, înmatriculării sau înregistrării în România, precum şi supravegherea pieței pentru acestea, aprobată cu modificări şi completări prin Legea nr. 139/2022, cu modificările şi completările ulterioare, începând cu data de 1 iulie 2024, în relaţia comercială B2B, între persoane impozabile stabilite în România conform art. 266 alin. (2) din Legea nr. 227/2015, cu modificările şi completările ulterioare, emitentul facturii electronice are obligaţia de transmitere a acesteia către destinatar utilizând sistemul naţional privind factura electronică RO e-Factura.  La art. 10^5 din acest act normativ, astfel cum a fost modificat prin Ordonanța de urgență a Guvernului nr. 69/2024 pentru modificarea și completarea unor acte normative în domeniul gestionării şi implementării sistemului naţional privind factura electronică RO e-Factura și al aparatelor de marcat electronice fiscale, precum și pentru alte măsuri fiscale, s-a prevăzut o excepție de la utilizarea sistemului pentru misiuni diplomatice, oficii consulare, organizații internaționale și alte persoane similare.</w:t>
            </w:r>
          </w:p>
          <w:p w:rsidR="00031B4E" w:rsidRDefault="00031B4E">
            <w:pPr>
              <w:widowControl w:val="0"/>
              <w:spacing w:line="276" w:lineRule="auto"/>
              <w:jc w:val="both"/>
            </w:pPr>
          </w:p>
          <w:p w:rsidR="00031B4E" w:rsidRDefault="00D74BF6">
            <w:pPr>
              <w:widowControl w:val="0"/>
              <w:spacing w:line="276" w:lineRule="auto"/>
              <w:jc w:val="both"/>
            </w:pPr>
            <w:r>
              <w:t xml:space="preserve"> În prezent, prin derogare de la prevederile Titlului IV și V din Legea nr. 227/2015 privind Codul fiscal, cu modificările şi completările ulterioare, este reglementată neimpozitarea și neincluderea în baza de calcul al contribuțiilor sociale obligatorii a unei sume de 200 lei/lună, beneficiarii acesteia fiind, în anumite condiții, salariații cu nivelul salariului de bază brut lunar, prevăzut în contractul individual de muncă/raportul de serviciu, la locul unde se află funcţia de bază, egal cu salariul minim brut pe ţară garantat în plată stabilit prin hotărâre a Guvernului, fără a include sporuri şi alte adaosuri.</w:t>
            </w:r>
          </w:p>
          <w:p w:rsidR="00031B4E" w:rsidRDefault="00D74BF6">
            <w:pPr>
              <w:widowControl w:val="0"/>
              <w:spacing w:line="276" w:lineRule="auto"/>
              <w:jc w:val="both"/>
            </w:pPr>
            <w:r>
              <w:t xml:space="preserve">  Începând cu veniturile aferente lunii iulie 2024, suma de 200 lei/lună reprezentând venituri din salarii și asimilate salariilor pentru care nu se datorează impozit pe venit și care nu se cuprinde în baza lunară de </w:t>
            </w:r>
            <w:r>
              <w:lastRenderedPageBreak/>
              <w:t xml:space="preserve">calcul al contribuțiilor sociale obligatorii  se majorează la nivelul de 300 lei/lună, potrivit prevederilor O.U.G. nr. 59/2024 pentru modificarea şi completarea Legii nr. 227/2015 privind Codul fiscal, precum şi alte măsuri fiscale. </w:t>
            </w:r>
          </w:p>
          <w:p w:rsidR="00031B4E" w:rsidRDefault="00D74BF6">
            <w:pPr>
              <w:widowControl w:val="0"/>
              <w:spacing w:line="276" w:lineRule="auto"/>
              <w:jc w:val="both"/>
            </w:pPr>
            <w:r>
              <w:t xml:space="preserve">  Pentru acordarea facilității fiscale una dintre condiții este ca venitul brut realizat din salarii şi asimilate salariilor, astfel cum este definit la art. 76 alin. (1) - (3) din Legea nr. 227/2015, cu modificările şi completările ulterioare, în baza aceluiaşi contract individual de muncă, pentru aceeaşi lună, să nu depăşească nivelul de 4.000 lei, inclusiv.</w:t>
            </w:r>
          </w:p>
          <w:p w:rsidR="008029CB" w:rsidRDefault="008029CB">
            <w:pPr>
              <w:widowControl w:val="0"/>
              <w:spacing w:line="276" w:lineRule="auto"/>
              <w:jc w:val="both"/>
            </w:pPr>
          </w:p>
          <w:p w:rsidR="00031B4E" w:rsidRDefault="00D74BF6">
            <w:pPr>
              <w:widowControl w:val="0"/>
              <w:spacing w:line="276" w:lineRule="auto"/>
              <w:jc w:val="both"/>
            </w:pPr>
            <w:r>
              <w:t xml:space="preserve"> Aceeași condiție trebuie îndeplinită și în cazul persoanelor care obțin venituri în baza unui raport de serviciu, potrivit legii.</w:t>
            </w:r>
          </w:p>
          <w:p w:rsidR="00031B4E" w:rsidRDefault="00031B4E">
            <w:pPr>
              <w:pStyle w:val="ListParagraph"/>
              <w:widowControl w:val="0"/>
              <w:spacing w:line="276" w:lineRule="auto"/>
              <w:ind w:left="1440" w:right="-40"/>
              <w:jc w:val="both"/>
              <w:rPr>
                <w:rFonts w:ascii="Times New Roman" w:hAnsi="Times New Roman"/>
              </w:rPr>
            </w:pPr>
          </w:p>
        </w:tc>
      </w:tr>
      <w:tr w:rsidR="00031B4E">
        <w:trPr>
          <w:trHeight w:val="841"/>
        </w:trPr>
        <w:tc>
          <w:tcPr>
            <w:tcW w:w="10490"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line="276" w:lineRule="auto"/>
              <w:jc w:val="both"/>
            </w:pPr>
            <w:r>
              <w:rPr>
                <w:rFonts w:cs="Arial"/>
                <w:b/>
                <w:bCs/>
                <w:iCs/>
              </w:rPr>
              <w:lastRenderedPageBreak/>
              <w:t>2.3 Schimbări preconizate</w:t>
            </w:r>
          </w:p>
          <w:p w:rsidR="00031B4E" w:rsidRDefault="00031B4E">
            <w:pPr>
              <w:widowControl w:val="0"/>
              <w:spacing w:line="276" w:lineRule="auto"/>
              <w:jc w:val="both"/>
              <w:rPr>
                <w:rFonts w:cs="Arial"/>
                <w:bCs/>
                <w:iCs/>
              </w:rPr>
            </w:pPr>
          </w:p>
          <w:p w:rsidR="00031B4E" w:rsidRDefault="00D74BF6">
            <w:pPr>
              <w:widowControl w:val="0"/>
              <w:spacing w:line="276" w:lineRule="auto"/>
              <w:jc w:val="both"/>
            </w:pPr>
            <w:r>
              <w:rPr>
                <w:rFonts w:cs="Arial"/>
              </w:rPr>
              <w:t xml:space="preserve">Având în vedere că la nivelul Uniunii Europene există un program de parteneriat între autoritatea vamală și operatorii economici, cu rol în consolidarea securității lanțului internațional de aprovizionare și facilitarea unui comerț legitim, prin care se acordă statutul de operator economic autorizat potrivit prevederilor art. 38 din Regulamentul  (UE) nr. </w:t>
            </w:r>
            <w:bookmarkStart w:id="1" w:name="_GoBack_Copy_1"/>
            <w:bookmarkEnd w:id="1"/>
            <w:r>
              <w:rPr>
                <w:rFonts w:cs="Arial"/>
              </w:rPr>
              <w:t xml:space="preserve">952/2013 de stabilire a Codului vamal al Uniunii (reformare), precum și  pentru evitarea unui blocaj la nivelul operatorilor economici autorizați care desfășoară activități cu pondere semnificativă în economia națională și care efectuează în mod curent transporturi internaționale de bunuri, cu consecințe negative atât în ceea ce privește desfășurarea în viitor a activității, cât și acumularea de noi datorii către bugetul general consolidat al statului, ca urmare a dificultății privind plata la termen a obligațiilor fiscale datorate, se propune  ca </w:t>
            </w:r>
            <w:r>
              <w:rPr>
                <w:rFonts w:cs="Arial"/>
                <w:color w:val="000000"/>
              </w:rPr>
              <w:t>pentru utilizatorii prevăzuți la art. 8^1 din Ordonanța de urgență a Guvernului nr. 41/2022</w:t>
            </w:r>
            <w:r>
              <w:rPr>
                <w:rFonts w:cs="Arial"/>
                <w:color w:val="000000"/>
                <w:vertAlign w:val="superscript"/>
              </w:rPr>
              <w:t xml:space="preserve"> </w:t>
            </w:r>
            <w:r>
              <w:rPr>
                <w:rFonts w:cs="Arial"/>
                <w:bCs/>
                <w:iCs/>
                <w:color w:val="000000"/>
              </w:rPr>
              <w:t xml:space="preserve">care au statutul de operator economic autorizat la data realizării transportului internațional de bunuri, prevederile </w:t>
            </w:r>
            <w:r>
              <w:rPr>
                <w:rFonts w:cs="Arial"/>
                <w:bCs/>
                <w:iCs/>
                <w:color w:val="000000"/>
                <w:lang w:val="en-US"/>
              </w:rPr>
              <w:t xml:space="preserve">art. LXXIV pct. 21 </w:t>
            </w:r>
            <w:r>
              <w:rPr>
                <w:rFonts w:cs="Arial"/>
                <w:bCs/>
                <w:iCs/>
                <w:color w:val="000000"/>
              </w:rPr>
              <w:t xml:space="preserve">din Ordonanța de urgență a Guvernului nr.115/2023 să intre în vigoare la data de 1 ianuarie 2025 și să </w:t>
            </w:r>
            <w:r>
              <w:rPr>
                <w:rFonts w:cs="Arial"/>
                <w:bCs/>
                <w:iCs/>
                <w:color w:val="000000"/>
                <w:lang w:val="en-US"/>
              </w:rPr>
              <w:t>se aplic</w:t>
            </w:r>
            <w:r>
              <w:rPr>
                <w:rFonts w:cs="Arial"/>
                <w:bCs/>
                <w:iCs/>
                <w:color w:val="000000"/>
              </w:rPr>
              <w:t>e</w:t>
            </w:r>
            <w:r>
              <w:rPr>
                <w:rFonts w:cs="Arial"/>
                <w:bCs/>
                <w:iCs/>
                <w:color w:val="000000"/>
                <w:lang w:val="en-US"/>
              </w:rPr>
              <w:t xml:space="preserve"> pentru faptele săvârşite şi constatate începând cu această data.</w:t>
            </w:r>
          </w:p>
          <w:p w:rsidR="00031B4E" w:rsidRDefault="00031B4E">
            <w:pPr>
              <w:widowControl w:val="0"/>
              <w:spacing w:line="276" w:lineRule="auto"/>
              <w:jc w:val="both"/>
              <w:rPr>
                <w:rFonts w:cs="Arial"/>
                <w:bCs/>
                <w:iCs/>
              </w:rPr>
            </w:pPr>
          </w:p>
          <w:p w:rsidR="00031B4E" w:rsidRDefault="00D74BF6">
            <w:pPr>
              <w:widowControl w:val="0"/>
              <w:spacing w:line="276" w:lineRule="auto"/>
              <w:ind w:right="-40"/>
              <w:jc w:val="both"/>
            </w:pPr>
            <w:r>
              <w:rPr>
                <w:rFonts w:cs="Arial"/>
                <w:bCs/>
                <w:iCs/>
              </w:rPr>
              <w:t>Având în vedere cerințele operative privind convocarea membrilor comisiei pentru îndeplinirea rolului de analiză privind execuția veniturilor bugetare și monitorizarea evoluției acestora, în funcție de dinamica procesului și ținând cont de necesitatea asigurării unui flux eficient de planificare a sesiunilor și a ordinii de zi, precum și a gestionării unitare a materialelor rezultate din ședințele comisiei, prin proiectul de act normativ se propune ca Secretariatul Comisiei centrale de monitorizare a execuţiei veniturilor bugetaresă fie asigurat prin grija Ministerului Finanțelor, care răspunde de întocmirea şi arhivarea lucrărilor şedinţelor desfăşurate de comisie.</w:t>
            </w:r>
          </w:p>
          <w:p w:rsidR="00031B4E" w:rsidRDefault="00031B4E">
            <w:pPr>
              <w:widowControl w:val="0"/>
              <w:spacing w:line="276" w:lineRule="auto"/>
              <w:ind w:right="-40"/>
              <w:jc w:val="both"/>
              <w:rPr>
                <w:rFonts w:cs="Arial"/>
                <w:bCs/>
                <w:iCs/>
              </w:rPr>
            </w:pPr>
          </w:p>
          <w:p w:rsidR="00031B4E" w:rsidRDefault="00D74BF6">
            <w:pPr>
              <w:widowControl w:val="0"/>
              <w:spacing w:line="276" w:lineRule="auto"/>
              <w:jc w:val="both"/>
            </w:pPr>
            <w:r>
              <w:t xml:space="preserve">Se propune stabilirea unui termen mai lung pentru transmiterea decontului  precompletat, respectiv până la data de 5 inclusiv a lunii următoare termenului legal de depunere a decontului de taxă pe valoarea adăugată, care este data de 25 inclusiv a lunii următoare celei în care se încheie perioada fiscală respectivă. </w:t>
            </w:r>
          </w:p>
          <w:p w:rsidR="00031B4E" w:rsidRDefault="00D74BF6">
            <w:pPr>
              <w:widowControl w:val="0"/>
              <w:spacing w:line="276" w:lineRule="auto"/>
              <w:jc w:val="both"/>
            </w:pPr>
            <w:r>
              <w:t>După identificarea diferenţelor semnificative, transmiterea acestora se realizează până la data de 5 inclusiv a lunii următoare termenului legal de depunere a decontului de taxă pe valoarea adăugată, printr-o notificare de conformare.</w:t>
            </w:r>
          </w:p>
          <w:p w:rsidR="00031B4E" w:rsidRDefault="00D74BF6">
            <w:pPr>
              <w:widowControl w:val="0"/>
              <w:spacing w:line="276" w:lineRule="auto"/>
              <w:jc w:val="both"/>
            </w:pPr>
            <w:r>
              <w:t>Termenul de transmitere a răspunsului la notificarea de conformare se propune a fi de 20 de zile de la data primirii acesteia".</w:t>
            </w:r>
          </w:p>
          <w:p w:rsidR="00031B4E" w:rsidRDefault="00D74BF6">
            <w:pPr>
              <w:widowControl w:val="0"/>
              <w:spacing w:line="276" w:lineRule="auto"/>
              <w:jc w:val="both"/>
            </w:pPr>
            <w:r>
              <w:lastRenderedPageBreak/>
              <w:t>În condițiile în care decontul precompletat se transmite după termenul limită de depunere a decontului de TVA, nu se mai justifică menținerea prevederilor art. 3 alin. (3) din Ordonanța de urgență a Guvernului nr. 116/2023.</w:t>
            </w:r>
          </w:p>
          <w:p w:rsidR="00031B4E" w:rsidRDefault="00D74BF6">
            <w:pPr>
              <w:widowControl w:val="0"/>
              <w:spacing w:line="276" w:lineRule="auto"/>
              <w:jc w:val="both"/>
            </w:pPr>
            <w:r>
              <w:t>Se propune modificarea cuantumului amenzilor, diferențiat pe categorii de persoane impozabile, în vederea asigurării principiului proporționalității.</w:t>
            </w:r>
          </w:p>
          <w:p w:rsidR="00031B4E" w:rsidRDefault="00D74BF6">
            <w:pPr>
              <w:widowControl w:val="0"/>
              <w:spacing w:line="276" w:lineRule="auto"/>
              <w:jc w:val="both"/>
            </w:pPr>
            <w:r>
              <w:t>Pentru a permite  tuturor categoriilor de persoane impozabile adaptarea în bune condiții la noile cerințe generate de proiectele de digitalizare implementate la nivelul Agenţiei Naţionale de Administrare Fiscală, se propune amânarea intrării în vigoare a prevederilor art. 5 alin. (8) – (10), art. 7 și 8 din Ordonanța de urgență a Guvernului nr. 70/2024, astfel cum se modifică prin prezentul proiect, până la data de 1 ianuarie 2025.</w:t>
            </w:r>
          </w:p>
          <w:p w:rsidR="00031B4E" w:rsidRDefault="00D74BF6">
            <w:pPr>
              <w:widowControl w:val="0"/>
              <w:spacing w:line="276" w:lineRule="auto"/>
              <w:jc w:val="both"/>
            </w:pPr>
            <w:r>
              <w:t>Întrucât până la implementarea completă a sistemul informatic naţional RO e-SAF-T, nu există date suficiente pentru precompletarea decontului e-TVA în cazul persoanelor care aplică sistemul TVA la încasare,  se propune clarificarea termenului de la care se va utiliza  decontul precompletat RO e-TVA în cazul acestor persoane,  respectiv doar începând cu data de 1 august 2025.</w:t>
            </w:r>
          </w:p>
          <w:p w:rsidR="00031B4E" w:rsidRDefault="00D74BF6">
            <w:pPr>
              <w:widowControl w:val="0"/>
              <w:spacing w:line="276" w:lineRule="auto"/>
              <w:jc w:val="both"/>
            </w:pPr>
            <w:r>
              <w:t>Totodată, se propun modificări în ceea ce  privește modalitatea de comunicare cu persoanele impozabile în vederea eficientizării procesului de conformare.</w:t>
            </w:r>
          </w:p>
          <w:p w:rsidR="00031B4E" w:rsidRDefault="00031B4E">
            <w:pPr>
              <w:widowControl w:val="0"/>
              <w:spacing w:line="276" w:lineRule="auto"/>
              <w:jc w:val="both"/>
            </w:pPr>
          </w:p>
          <w:p w:rsidR="00031B4E" w:rsidRDefault="00D74BF6">
            <w:pPr>
              <w:widowControl w:val="0"/>
              <w:spacing w:line="276" w:lineRule="auto"/>
              <w:jc w:val="both"/>
            </w:pPr>
            <w:r>
              <w:t>În ceea ce privește sistemul national RO e-Factura, se propune stabilirea unei perioade de 1 an, respectiv până la 1 iulie 2025, în care să nu fie obligatorie utilizarea acestuia de către institutele/centrele culturale ale altor state care activează pe teritoriul României în baza unor acorduri interguvernamentale, precum și de către furnizorii/prestatorii acestora, având în vedere restricțiile tehnice actuale ale sistemului.</w:t>
            </w:r>
          </w:p>
          <w:p w:rsidR="00031B4E" w:rsidRDefault="00031B4E">
            <w:pPr>
              <w:widowControl w:val="0"/>
              <w:spacing w:line="276" w:lineRule="auto"/>
              <w:jc w:val="both"/>
            </w:pPr>
          </w:p>
          <w:p w:rsidR="00031B4E" w:rsidRDefault="00D74BF6">
            <w:pPr>
              <w:widowControl w:val="0"/>
              <w:spacing w:line="276" w:lineRule="auto"/>
              <w:jc w:val="both"/>
            </w:pPr>
            <w:r>
              <w:t>Pentru acordarea facilității fiscale referitoare la neimpozitarea și neincluderea în baza de calcul al contribuțiilor sociale obligatorii a sumei de 300 lei/lună se propune ajustarea plafonului lunar de 4.000 lei reprezentând venit brut realizat din salarii și asimilate salariilor, în sensul excluderii de la calculul acestuia a contravalorii tichetelor de masă, respectiv a indemnizației de hrană, după caz, acordate potrivit legii, pentru perioada iulie-decembrie 2024.</w:t>
            </w:r>
          </w:p>
          <w:p w:rsidR="00031B4E" w:rsidRDefault="00031B4E">
            <w:pPr>
              <w:widowControl w:val="0"/>
              <w:spacing w:line="276" w:lineRule="auto"/>
              <w:jc w:val="both"/>
              <w:rPr>
                <w:rFonts w:cs="Arial"/>
                <w:bCs/>
                <w:iCs/>
                <w:color w:val="000000" w:themeColor="text1"/>
              </w:rPr>
            </w:pPr>
          </w:p>
          <w:p w:rsidR="00031B4E" w:rsidRDefault="00D74BF6">
            <w:pPr>
              <w:widowControl w:val="0"/>
              <w:spacing w:line="276" w:lineRule="auto"/>
              <w:jc w:val="both"/>
              <w:rPr>
                <w:rFonts w:cs="Arial"/>
                <w:b/>
                <w:bCs/>
                <w:iCs/>
              </w:rPr>
            </w:pPr>
            <w:r>
              <w:rPr>
                <w:rFonts w:cs="Arial"/>
                <w:b/>
                <w:bCs/>
                <w:iCs/>
              </w:rPr>
              <w:t>2.4 Alte informații</w:t>
            </w:r>
          </w:p>
          <w:p w:rsidR="00031B4E" w:rsidRDefault="00D74BF6">
            <w:pPr>
              <w:widowControl w:val="0"/>
              <w:spacing w:line="276" w:lineRule="auto"/>
              <w:jc w:val="both"/>
            </w:pPr>
            <w:r>
              <w:t>Neadoptarea în regim de urgență a măsurii privind ajustarea plafonului lunar de 4000 lei reprezentând venit brut realizat din salarii și asimilate salariilor, ar putea avea consecinţe negative, în sensul că ar genera: diminuarea eficienței facilității fiscale existente în prezent, precum și a măsurii privind majorarea nivelului salariului minim brut pe ţară garantat în plată.</w:t>
            </w:r>
          </w:p>
          <w:p w:rsidR="00031B4E" w:rsidRDefault="00031B4E">
            <w:pPr>
              <w:widowControl w:val="0"/>
              <w:spacing w:line="276" w:lineRule="auto"/>
              <w:jc w:val="both"/>
              <w:rPr>
                <w:rFonts w:cs="Segoe UI"/>
                <w:bCs/>
                <w:iCs/>
              </w:rPr>
            </w:pPr>
          </w:p>
        </w:tc>
      </w:tr>
    </w:tbl>
    <w:p w:rsidR="00031B4E" w:rsidRDefault="00D74BF6">
      <w:pPr>
        <w:spacing w:after="120"/>
        <w:rPr>
          <w:b/>
        </w:rPr>
      </w:pPr>
      <w:r>
        <w:rPr>
          <w:b/>
        </w:rPr>
        <w:lastRenderedPageBreak/>
        <w:t xml:space="preserve">  </w:t>
      </w:r>
    </w:p>
    <w:p w:rsidR="00031B4E" w:rsidRDefault="00D74BF6">
      <w:pPr>
        <w:spacing w:after="120"/>
        <w:ind w:firstLine="360"/>
      </w:pPr>
      <w:r>
        <w:rPr>
          <w:b/>
        </w:rPr>
        <w:t xml:space="preserve">Secțiunea a 3-a </w:t>
      </w:r>
    </w:p>
    <w:p w:rsidR="00031B4E" w:rsidRDefault="00D74BF6">
      <w:pPr>
        <w:spacing w:after="120"/>
        <w:ind w:firstLine="360"/>
      </w:pPr>
      <w:r>
        <w:rPr>
          <w:b/>
        </w:rPr>
        <w:t xml:space="preserve">Impactul socioeconomic </w:t>
      </w:r>
    </w:p>
    <w:tbl>
      <w:tblPr>
        <w:tblW w:w="10534" w:type="dxa"/>
        <w:tblInd w:w="221" w:type="dxa"/>
        <w:tblLayout w:type="fixed"/>
        <w:tblLook w:val="04A0" w:firstRow="1" w:lastRow="0" w:firstColumn="1" w:lastColumn="0" w:noHBand="0" w:noVBand="1"/>
      </w:tblPr>
      <w:tblGrid>
        <w:gridCol w:w="10534"/>
      </w:tblGrid>
      <w:tr w:rsidR="00031B4E">
        <w:tc>
          <w:tcPr>
            <w:tcW w:w="1053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both"/>
              <w:rPr>
                <w:b/>
              </w:rPr>
            </w:pPr>
          </w:p>
          <w:p w:rsidR="00031B4E" w:rsidRDefault="00D74BF6">
            <w:pPr>
              <w:widowControl w:val="0"/>
              <w:spacing w:after="120"/>
              <w:jc w:val="both"/>
            </w:pPr>
            <w:r>
              <w:rPr>
                <w:b/>
              </w:rPr>
              <w:t>3.1 Descrierea generală a beneficiilor și costurilor estimate ca urmare a intrării în vigoare a actului normativ</w:t>
            </w:r>
          </w:p>
          <w:p w:rsidR="00031B4E" w:rsidRDefault="00D74BF6">
            <w:pPr>
              <w:widowControl w:val="0"/>
              <w:spacing w:after="120"/>
              <w:jc w:val="both"/>
              <w:rPr>
                <w:b/>
              </w:rPr>
            </w:pPr>
            <w:r>
              <w:rPr>
                <w:b/>
              </w:rPr>
              <w:t>3.2 Impactul social</w:t>
            </w:r>
          </w:p>
          <w:p w:rsidR="00031B4E" w:rsidRDefault="00D74BF6">
            <w:pPr>
              <w:widowControl w:val="0"/>
              <w:spacing w:after="120"/>
              <w:jc w:val="both"/>
            </w:pPr>
            <w:r>
              <w:t xml:space="preserve">Măsura </w:t>
            </w:r>
            <w:r w:rsidR="008029CB" w:rsidRPr="008029CB">
              <w:t xml:space="preserve">privind ajustarea plafonului lunar de 4000 lei reprezentând venit brut realizat din salarii și asimilate </w:t>
            </w:r>
            <w:r w:rsidR="008029CB" w:rsidRPr="008029CB">
              <w:lastRenderedPageBreak/>
              <w:t xml:space="preserve">salariilor </w:t>
            </w:r>
            <w:r>
              <w:t>va conduce la menținerea în sfera de aplicare a facilității fiscale a sumei de 300 lei pentru care nu se datorează impozit pe venit şi care nu se cuprinde în baza lunară de calcul al contribuţiilor sociale obligatorii a grupului țintă pentru care a fost instituită facilitatea, respectiv, persoanele fizice al căror nivel al salariului de bază brut lunar stabilit potrivit contractului individual de muncă, fără a include sporuri şi alte adaosuri, este egal cu nivelul salariului minim brut pe ţară garantat în plată stabilit prin hotărâre a Guvernului, în vigoare în luna căreia îi sunt aferente veniturile.</w:t>
            </w:r>
          </w:p>
          <w:p w:rsidR="00031B4E" w:rsidRDefault="00D74BF6">
            <w:pPr>
              <w:widowControl w:val="0"/>
              <w:spacing w:after="120"/>
              <w:jc w:val="both"/>
            </w:pPr>
            <w:r>
              <w:rPr>
                <w:b/>
              </w:rPr>
              <w:t>3.3. Impactul asupra drepturilor și libertăților fundamentale ale omului</w:t>
            </w:r>
          </w:p>
          <w:p w:rsidR="00031B4E" w:rsidRDefault="00D74BF6">
            <w:pPr>
              <w:widowControl w:val="0"/>
              <w:spacing w:after="120"/>
              <w:jc w:val="both"/>
            </w:pPr>
            <w:r>
              <w:rPr>
                <w:b/>
              </w:rPr>
              <w:t>3.4. Impactul macroeconomic</w:t>
            </w:r>
          </w:p>
          <w:p w:rsidR="00031B4E" w:rsidRDefault="00D74BF6">
            <w:pPr>
              <w:widowControl w:val="0"/>
              <w:spacing w:after="120"/>
              <w:jc w:val="both"/>
            </w:pPr>
            <w:r>
              <w:rPr>
                <w:bCs/>
              </w:rPr>
              <w:t>Îmbunătăţirea comportamentului fiscal al contribuabililor şi creşterea conformării voluntare vor contribui la prevenirea și combaterea evaziunii fiscale</w:t>
            </w:r>
          </w:p>
          <w:p w:rsidR="00031B4E" w:rsidRDefault="00D74BF6">
            <w:pPr>
              <w:widowControl w:val="0"/>
              <w:spacing w:after="120"/>
              <w:jc w:val="both"/>
            </w:pPr>
            <w:r>
              <w:rPr>
                <w:b/>
              </w:rPr>
              <w:t>3.4.1 Impactul asupra economiei și asupra principalilor indicatori macroeconomici</w:t>
            </w:r>
          </w:p>
          <w:p w:rsidR="00031B4E" w:rsidRDefault="00D74BF6">
            <w:pPr>
              <w:widowControl w:val="0"/>
              <w:spacing w:after="120"/>
              <w:jc w:val="both"/>
            </w:pPr>
            <w:r>
              <w:rPr>
                <w:b/>
              </w:rPr>
              <w:t>3.4.2 Impactul asupra mediului concurențial si domeniului ajutoarelor de stat</w:t>
            </w:r>
          </w:p>
          <w:p w:rsidR="00031B4E" w:rsidRDefault="00D74BF6">
            <w:pPr>
              <w:widowControl w:val="0"/>
              <w:spacing w:after="120"/>
              <w:jc w:val="both"/>
            </w:pPr>
            <w:r>
              <w:rPr>
                <w:b/>
              </w:rPr>
              <w:t>3.5. Impactul asupra mediului de afaceri</w:t>
            </w:r>
          </w:p>
          <w:p w:rsidR="00031B4E" w:rsidRDefault="00D74BF6">
            <w:pPr>
              <w:widowControl w:val="0"/>
              <w:spacing w:after="100" w:line="312" w:lineRule="auto"/>
              <w:jc w:val="both"/>
              <w:rPr>
                <w:rFonts w:eastAsiaTheme="minorHAnsi" w:cstheme="minorBidi"/>
                <w:bCs/>
                <w:iCs/>
                <w:color w:val="000000"/>
              </w:rPr>
            </w:pPr>
            <w:r>
              <w:rPr>
                <w:color w:val="000000" w:themeColor="text1"/>
              </w:rPr>
              <w:t xml:space="preserve">Măsurile propuse </w:t>
            </w:r>
            <w:r>
              <w:rPr>
                <w:bCs/>
                <w:iCs/>
                <w:color w:val="000000" w:themeColor="text1"/>
              </w:rPr>
              <w:t xml:space="preserve">au un impact favorabil asupra mediului de afaceri, prin acordarea unei perioade  </w:t>
            </w:r>
            <w:r>
              <w:rPr>
                <w:rFonts w:eastAsiaTheme="minorHAnsi" w:cstheme="minorBidi"/>
                <w:bCs/>
                <w:iCs/>
                <w:color w:val="000000"/>
              </w:rPr>
              <w:t>pentru adaptarea sistemelor informatice și atragerea unor resurse umane suplimentare.</w:t>
            </w:r>
          </w:p>
          <w:p w:rsidR="00031B4E" w:rsidRDefault="00D74BF6">
            <w:pPr>
              <w:widowControl w:val="0"/>
              <w:spacing w:after="100" w:line="312" w:lineRule="auto"/>
              <w:jc w:val="both"/>
            </w:pPr>
            <w:r>
              <w:t>Ajustarea plafonului de 4000 lei lunar, în sensul eliminării contravalorii tichetelor de masă de la calculul nivelului acestuia, conduce la diminuarea bazei de calcul al contribuției asiguratorie pentru muncă suportată de angajatori.</w:t>
            </w:r>
          </w:p>
          <w:p w:rsidR="00031B4E" w:rsidRDefault="00D74BF6">
            <w:pPr>
              <w:widowControl w:val="0"/>
              <w:spacing w:after="120"/>
              <w:jc w:val="both"/>
            </w:pPr>
            <w:r>
              <w:rPr>
                <w:b/>
              </w:rPr>
              <w:t>3.6 Impactul asupra mediului înconjurător</w:t>
            </w:r>
          </w:p>
          <w:p w:rsidR="00031B4E" w:rsidRDefault="00D74BF6">
            <w:pPr>
              <w:widowControl w:val="0"/>
              <w:spacing w:after="120"/>
              <w:jc w:val="both"/>
            </w:pPr>
            <w:r>
              <w:rPr>
                <w:b/>
                <w:bCs/>
              </w:rPr>
              <w:t>3.7. Evaluarea costurilor și beneficiilor din perspectiva inovării și digitalizării</w:t>
            </w:r>
          </w:p>
          <w:p w:rsidR="00031B4E" w:rsidRDefault="00D74BF6">
            <w:pPr>
              <w:widowControl w:val="0"/>
              <w:spacing w:after="120"/>
              <w:jc w:val="both"/>
            </w:pPr>
            <w:r>
              <w:rPr>
                <w:b/>
                <w:bCs/>
              </w:rPr>
              <w:t>3.8 Evaluarea costurilor și beneficiilor din perspectiva dezvoltării durabil</w:t>
            </w:r>
          </w:p>
          <w:p w:rsidR="00031B4E" w:rsidRDefault="00D74BF6">
            <w:pPr>
              <w:widowControl w:val="0"/>
              <w:spacing w:after="120"/>
              <w:jc w:val="both"/>
            </w:pPr>
            <w:r>
              <w:rPr>
                <w:b/>
                <w:bCs/>
              </w:rPr>
              <w:t>3.9. Alte informații</w:t>
            </w:r>
          </w:p>
        </w:tc>
      </w:tr>
    </w:tbl>
    <w:p w:rsidR="00031B4E" w:rsidRDefault="00031B4E">
      <w:pPr>
        <w:spacing w:after="120"/>
        <w:ind w:firstLine="720"/>
        <w:jc w:val="both"/>
        <w:rPr>
          <w:b/>
        </w:rPr>
      </w:pPr>
    </w:p>
    <w:p w:rsidR="00031B4E" w:rsidRDefault="00D74BF6">
      <w:pPr>
        <w:spacing w:after="120"/>
        <w:ind w:firstLine="720"/>
        <w:jc w:val="both"/>
      </w:pPr>
      <w:r>
        <w:rPr>
          <w:b/>
        </w:rPr>
        <w:t xml:space="preserve">Secţiunea a 4-a </w:t>
      </w:r>
    </w:p>
    <w:p w:rsidR="00031B4E" w:rsidRDefault="00D74BF6">
      <w:pPr>
        <w:spacing w:after="120"/>
        <w:ind w:firstLine="720"/>
        <w:jc w:val="both"/>
      </w:pPr>
      <w:r>
        <w:rPr>
          <w:b/>
        </w:rPr>
        <w:t>Impactul financiar asupra bugetului general consolidat atât pe termen scurt, pentru anul curent, cât şi pe termen lung (pe 5 ani), inclusiv informații cu privire la cheltuieli și venituri ***)</w:t>
      </w:r>
    </w:p>
    <w:tbl>
      <w:tblPr>
        <w:tblW w:w="10534" w:type="dxa"/>
        <w:tblInd w:w="221" w:type="dxa"/>
        <w:tblLayout w:type="fixed"/>
        <w:tblLook w:val="04A0" w:firstRow="1" w:lastRow="0" w:firstColumn="1" w:lastColumn="0" w:noHBand="0" w:noVBand="1"/>
      </w:tblPr>
      <w:tblGrid>
        <w:gridCol w:w="2695"/>
        <w:gridCol w:w="1061"/>
        <w:gridCol w:w="1364"/>
        <w:gridCol w:w="1465"/>
        <w:gridCol w:w="1371"/>
        <w:gridCol w:w="1130"/>
        <w:gridCol w:w="1448"/>
      </w:tblGrid>
      <w:tr w:rsidR="00031B4E">
        <w:tc>
          <w:tcPr>
            <w:tcW w:w="10533" w:type="dxa"/>
            <w:gridSpan w:val="7"/>
            <w:tcBorders>
              <w:top w:val="single" w:sz="4" w:space="0" w:color="000000"/>
              <w:left w:val="single" w:sz="4" w:space="0" w:color="000000"/>
              <w:bottom w:val="single" w:sz="4" w:space="0" w:color="000000"/>
              <w:right w:val="single" w:sz="4" w:space="0" w:color="000000"/>
            </w:tcBorders>
          </w:tcPr>
          <w:p w:rsidR="00031B4E" w:rsidRDefault="00D74BF6">
            <w:pPr>
              <w:pStyle w:val="ListParagraph"/>
              <w:widowControl w:val="0"/>
              <w:numPr>
                <w:ilvl w:val="0"/>
                <w:numId w:val="1"/>
              </w:numPr>
              <w:spacing w:after="120"/>
              <w:jc w:val="right"/>
              <w:rPr>
                <w:rFonts w:ascii="Times New Roman" w:hAnsi="Times New Roman"/>
              </w:rPr>
            </w:pPr>
            <w:r>
              <w:rPr>
                <w:rFonts w:ascii="Times New Roman" w:hAnsi="Times New Roman" w:cs="Times New Roman"/>
              </w:rPr>
              <w:t>În mii lei (RON)</w:t>
            </w: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pStyle w:val="Heading2"/>
              <w:widowControl w:val="0"/>
              <w:spacing w:after="120"/>
              <w:rPr>
                <w:sz w:val="24"/>
              </w:rPr>
            </w:pPr>
            <w:r>
              <w:rPr>
                <w:sz w:val="24"/>
              </w:rPr>
              <w:t>Indicatori</w:t>
            </w:r>
          </w:p>
        </w:tc>
        <w:tc>
          <w:tcPr>
            <w:tcW w:w="1061"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center"/>
            </w:pPr>
            <w:r>
              <w:t>Anul curent</w:t>
            </w:r>
          </w:p>
        </w:tc>
        <w:tc>
          <w:tcPr>
            <w:tcW w:w="5330" w:type="dxa"/>
            <w:gridSpan w:val="4"/>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center"/>
            </w:pPr>
            <w:r>
              <w:t>Următorii 4 ani</w:t>
            </w:r>
          </w:p>
        </w:tc>
        <w:tc>
          <w:tcPr>
            <w:tcW w:w="1448"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center"/>
            </w:pPr>
            <w:r>
              <w:t>Media pe 5 ani</w:t>
            </w: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center"/>
            </w:pPr>
            <w:r>
              <w:t>1</w:t>
            </w:r>
          </w:p>
        </w:tc>
        <w:tc>
          <w:tcPr>
            <w:tcW w:w="1061"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2</w:t>
            </w:r>
          </w:p>
        </w:tc>
        <w:tc>
          <w:tcPr>
            <w:tcW w:w="1364"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3</w:t>
            </w:r>
          </w:p>
        </w:tc>
        <w:tc>
          <w:tcPr>
            <w:tcW w:w="1465"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4</w:t>
            </w:r>
          </w:p>
        </w:tc>
        <w:tc>
          <w:tcPr>
            <w:tcW w:w="1371"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5</w:t>
            </w:r>
          </w:p>
        </w:tc>
        <w:tc>
          <w:tcPr>
            <w:tcW w:w="1130"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6</w:t>
            </w:r>
          </w:p>
        </w:tc>
        <w:tc>
          <w:tcPr>
            <w:tcW w:w="1448" w:type="dxa"/>
            <w:tcBorders>
              <w:top w:val="single" w:sz="4" w:space="0" w:color="000000"/>
              <w:left w:val="single" w:sz="4" w:space="0" w:color="000000"/>
              <w:bottom w:val="single" w:sz="4" w:space="0" w:color="000000"/>
              <w:right w:val="single" w:sz="4" w:space="0" w:color="000000"/>
            </w:tcBorders>
            <w:vAlign w:val="center"/>
          </w:tcPr>
          <w:p w:rsidR="00031B4E" w:rsidRDefault="00D74BF6">
            <w:pPr>
              <w:widowControl w:val="0"/>
              <w:spacing w:after="120"/>
              <w:jc w:val="center"/>
            </w:pPr>
            <w:r>
              <w:t>7</w:t>
            </w: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rPr>
                <w:b/>
                <w:bCs/>
              </w:rPr>
              <w:t>4.1. Modificări ale veniturilor bugetare, plus/minus, din care:</w:t>
            </w:r>
          </w:p>
          <w:p w:rsidR="00031B4E" w:rsidRDefault="00031B4E">
            <w:pPr>
              <w:widowControl w:val="0"/>
              <w:spacing w:after="120"/>
              <w:jc w:val="both"/>
              <w:rPr>
                <w:b/>
                <w:bCs/>
              </w:rPr>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a) bugetul de stat, din acesta:</w:t>
            </w:r>
          </w:p>
          <w:p w:rsidR="00031B4E" w:rsidRDefault="00D74BF6">
            <w:pPr>
              <w:widowControl w:val="0"/>
              <w:spacing w:after="120"/>
              <w:jc w:val="both"/>
            </w:pPr>
            <w:r>
              <w:t>(i) impozit pe profit</w:t>
            </w:r>
          </w:p>
          <w:p w:rsidR="00031B4E" w:rsidRDefault="00D74BF6">
            <w:pPr>
              <w:widowControl w:val="0"/>
              <w:spacing w:after="120"/>
              <w:jc w:val="both"/>
            </w:pPr>
            <w:r>
              <w:t>(ii) impozit pe venit</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lastRenderedPageBreak/>
              <w:t>b) bugete locale:</w:t>
            </w:r>
          </w:p>
          <w:p w:rsidR="00031B4E" w:rsidRDefault="00D74BF6">
            <w:pPr>
              <w:widowControl w:val="0"/>
              <w:spacing w:after="120"/>
              <w:jc w:val="both"/>
            </w:pPr>
            <w:r>
              <w:t>(i) impozit pe profit</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c) bugetul asigurărilor sociale de stat</w:t>
            </w:r>
          </w:p>
          <w:p w:rsidR="00031B4E" w:rsidRDefault="00D74BF6">
            <w:pPr>
              <w:widowControl w:val="0"/>
              <w:spacing w:after="120"/>
              <w:jc w:val="both"/>
            </w:pPr>
            <w:r>
              <w:t>(i) contribuţii de asigurări</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d) alte tipuri de venituri</w:t>
            </w:r>
          </w:p>
          <w:p w:rsidR="00031B4E" w:rsidRDefault="00D74BF6">
            <w:pPr>
              <w:widowControl w:val="0"/>
              <w:spacing w:after="120"/>
              <w:jc w:val="both"/>
            </w:pPr>
            <w:r>
              <w:t>(Se va menționa natura acestora.)</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pStyle w:val="BodyText2"/>
              <w:widowControl w:val="0"/>
              <w:spacing w:after="120"/>
              <w:rPr>
                <w:sz w:val="24"/>
              </w:rP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rPr>
                <w:b/>
                <w:bCs/>
              </w:rPr>
              <w:t>4.2. Modificări ale cheltuielilor bugetare, plus/minus, din care:</w:t>
            </w:r>
          </w:p>
          <w:p w:rsidR="00031B4E" w:rsidRDefault="00031B4E">
            <w:pPr>
              <w:widowControl w:val="0"/>
              <w:spacing w:after="120"/>
              <w:jc w:val="both"/>
              <w:rPr>
                <w:b/>
                <w:bCs/>
              </w:rPr>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a) buget de stat, din acesta:</w:t>
            </w:r>
          </w:p>
          <w:p w:rsidR="00031B4E" w:rsidRDefault="00D74BF6">
            <w:pPr>
              <w:widowControl w:val="0"/>
              <w:spacing w:after="120"/>
              <w:jc w:val="both"/>
            </w:pPr>
            <w:r>
              <w:t>(i) cheltuieli de personal</w:t>
            </w:r>
          </w:p>
          <w:p w:rsidR="00031B4E" w:rsidRDefault="00D74BF6">
            <w:pPr>
              <w:widowControl w:val="0"/>
              <w:spacing w:after="120"/>
              <w:jc w:val="both"/>
            </w:pPr>
            <w:r>
              <w:t>(ii) bunuri şi servicii</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b) bugete locale:</w:t>
            </w:r>
          </w:p>
          <w:p w:rsidR="00031B4E" w:rsidRDefault="00D74BF6">
            <w:pPr>
              <w:widowControl w:val="0"/>
              <w:spacing w:after="120"/>
              <w:jc w:val="both"/>
            </w:pPr>
            <w:r>
              <w:t>(i) cheltuieli de personal</w:t>
            </w:r>
          </w:p>
          <w:p w:rsidR="00031B4E" w:rsidRDefault="00D74BF6">
            <w:pPr>
              <w:widowControl w:val="0"/>
              <w:spacing w:after="120"/>
              <w:jc w:val="both"/>
            </w:pPr>
            <w:r>
              <w:t>(ii) bunuri şi servicii</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c) bugetul asigurărilor sociale de stat:</w:t>
            </w:r>
          </w:p>
          <w:p w:rsidR="00031B4E" w:rsidRDefault="00D74BF6">
            <w:pPr>
              <w:widowControl w:val="0"/>
              <w:spacing w:after="120"/>
              <w:jc w:val="both"/>
            </w:pPr>
            <w:r>
              <w:t>(i) cheltuieli de personal</w:t>
            </w:r>
          </w:p>
          <w:p w:rsidR="00031B4E" w:rsidRDefault="00D74BF6">
            <w:pPr>
              <w:widowControl w:val="0"/>
              <w:spacing w:after="120"/>
              <w:jc w:val="both"/>
            </w:pPr>
            <w:r>
              <w:t>(ii) bunuri şi servicii</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d) alte tipuri de cheltuieli</w:t>
            </w:r>
          </w:p>
          <w:p w:rsidR="00031B4E" w:rsidRDefault="00D74BF6">
            <w:pPr>
              <w:widowControl w:val="0"/>
              <w:spacing w:after="120"/>
              <w:jc w:val="both"/>
            </w:pPr>
            <w:r>
              <w:t>(Se va menționa natura acestora.)</w:t>
            </w:r>
          </w:p>
          <w:p w:rsidR="00031B4E" w:rsidRDefault="00031B4E">
            <w:pPr>
              <w:widowControl w:val="0"/>
              <w:spacing w:after="120"/>
              <w:jc w:val="both"/>
            </w:pP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rPr>
                <w:b/>
                <w:bCs/>
              </w:rPr>
              <w:t>4.3. Impact financiar, plus/minus, din care:</w:t>
            </w:r>
          </w:p>
          <w:p w:rsidR="00031B4E" w:rsidRDefault="00D74BF6">
            <w:pPr>
              <w:widowControl w:val="0"/>
              <w:spacing w:after="120"/>
              <w:jc w:val="both"/>
            </w:pPr>
            <w:r>
              <w:t>a) buget de stat</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t>b) bugete locale</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both"/>
              <w:rPr>
                <w:b/>
                <w:bCs/>
              </w:rPr>
            </w:pPr>
          </w:p>
          <w:p w:rsidR="00031B4E" w:rsidRDefault="00D74BF6">
            <w:pPr>
              <w:widowControl w:val="0"/>
              <w:spacing w:after="120"/>
              <w:jc w:val="both"/>
            </w:pPr>
            <w:r>
              <w:rPr>
                <w:b/>
                <w:bCs/>
              </w:rPr>
              <w:t>4.4. Propuneri pentru acoperirea creşterii cheltuielilor bugetare</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both"/>
              <w:rPr>
                <w:b/>
                <w:bCs/>
              </w:rPr>
            </w:pPr>
          </w:p>
          <w:p w:rsidR="00031B4E" w:rsidRDefault="00D74BF6">
            <w:pPr>
              <w:widowControl w:val="0"/>
              <w:spacing w:after="120"/>
              <w:jc w:val="both"/>
            </w:pPr>
            <w:r>
              <w:rPr>
                <w:b/>
                <w:bCs/>
              </w:rPr>
              <w:t>4.5. Propuneri pentru a compensa reducerea veniturilor bugetare</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269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both"/>
              <w:rPr>
                <w:b/>
                <w:bCs/>
              </w:rPr>
            </w:pPr>
          </w:p>
          <w:p w:rsidR="00031B4E" w:rsidRDefault="00D74BF6">
            <w:pPr>
              <w:widowControl w:val="0"/>
              <w:spacing w:after="120"/>
              <w:jc w:val="both"/>
            </w:pPr>
            <w:r>
              <w:rPr>
                <w:b/>
                <w:bCs/>
              </w:rPr>
              <w:t>4.6. Calcule detaliate privind fundamentarea modificărilor  veniturilor şi/sau cheltuielilor bugetare</w:t>
            </w:r>
          </w:p>
        </w:tc>
        <w:tc>
          <w:tcPr>
            <w:tcW w:w="106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64"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65"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371"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130"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c>
          <w:tcPr>
            <w:tcW w:w="1448" w:type="dxa"/>
            <w:tcBorders>
              <w:top w:val="single" w:sz="4" w:space="0" w:color="000000"/>
              <w:left w:val="single" w:sz="4" w:space="0" w:color="000000"/>
              <w:bottom w:val="single" w:sz="4" w:space="0" w:color="000000"/>
              <w:right w:val="single" w:sz="4" w:space="0" w:color="000000"/>
            </w:tcBorders>
          </w:tcPr>
          <w:p w:rsidR="00031B4E" w:rsidRDefault="00031B4E">
            <w:pPr>
              <w:widowControl w:val="0"/>
              <w:spacing w:after="120"/>
              <w:jc w:val="center"/>
            </w:pPr>
          </w:p>
        </w:tc>
      </w:tr>
      <w:tr w:rsidR="00031B4E">
        <w:tc>
          <w:tcPr>
            <w:tcW w:w="10533" w:type="dxa"/>
            <w:gridSpan w:val="7"/>
            <w:tcBorders>
              <w:top w:val="single" w:sz="4" w:space="0" w:color="000000"/>
              <w:left w:val="single" w:sz="4" w:space="0" w:color="000000"/>
              <w:bottom w:val="single" w:sz="4" w:space="0" w:color="000000"/>
              <w:right w:val="single" w:sz="4" w:space="0" w:color="000000"/>
            </w:tcBorders>
          </w:tcPr>
          <w:p w:rsidR="00031B4E" w:rsidRDefault="00031B4E">
            <w:pPr>
              <w:widowControl w:val="0"/>
              <w:jc w:val="both"/>
              <w:rPr>
                <w:b/>
                <w:bCs/>
              </w:rPr>
            </w:pPr>
          </w:p>
          <w:p w:rsidR="00031B4E" w:rsidRDefault="00D74BF6">
            <w:pPr>
              <w:widowControl w:val="0"/>
              <w:jc w:val="both"/>
            </w:pPr>
            <w:r>
              <w:rPr>
                <w:b/>
                <w:bCs/>
              </w:rPr>
              <w:t>4.7. Prezentarea, în cazul proiectelor de acte normative a căror adaptare atrage majorarea cheltuielilor bugetare, a următoarelor documente:</w:t>
            </w:r>
          </w:p>
          <w:p w:rsidR="00031B4E" w:rsidRDefault="00031B4E">
            <w:pPr>
              <w:widowControl w:val="0"/>
              <w:jc w:val="both"/>
              <w:rPr>
                <w:b/>
                <w:bCs/>
              </w:rPr>
            </w:pPr>
          </w:p>
          <w:p w:rsidR="00031B4E" w:rsidRDefault="00031B4E">
            <w:pPr>
              <w:widowControl w:val="0"/>
              <w:jc w:val="both"/>
            </w:pPr>
          </w:p>
          <w:p w:rsidR="00031B4E" w:rsidRDefault="00031B4E">
            <w:pPr>
              <w:widowControl w:val="0"/>
              <w:jc w:val="both"/>
            </w:pPr>
          </w:p>
        </w:tc>
      </w:tr>
      <w:tr w:rsidR="00031B4E">
        <w:tc>
          <w:tcPr>
            <w:tcW w:w="10533" w:type="dxa"/>
            <w:gridSpan w:val="7"/>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pPr>
            <w:r>
              <w:rPr>
                <w:b/>
                <w:bCs/>
              </w:rPr>
              <w:t>4.8. Alte informații</w:t>
            </w:r>
          </w:p>
          <w:p w:rsidR="00031B4E" w:rsidRDefault="00D74BF6">
            <w:pPr>
              <w:widowControl w:val="0"/>
              <w:spacing w:after="120"/>
              <w:jc w:val="both"/>
              <w:rPr>
                <w:bCs/>
              </w:rPr>
            </w:pPr>
            <w:r>
              <w:rPr>
                <w:bCs/>
              </w:rPr>
              <w:t>Măsura privind ajustarea plafonului lunar de 4.000 lei reprezentând venit brut realizat din salarii și asimilate salariilor generează un impact asupra veniturilor bugetare de minus 91,5 milioane lei, pentru 5 luni de aplicare a măsurii.</w:t>
            </w:r>
          </w:p>
        </w:tc>
      </w:tr>
    </w:tbl>
    <w:p w:rsidR="00031B4E" w:rsidRDefault="00D74BF6">
      <w:pPr>
        <w:spacing w:after="120"/>
        <w:jc w:val="both"/>
      </w:pPr>
      <w:r>
        <w:rPr>
          <w:b/>
        </w:rPr>
        <w:t xml:space="preserve">  </w:t>
      </w:r>
    </w:p>
    <w:p w:rsidR="00031B4E" w:rsidRDefault="00D74BF6">
      <w:pPr>
        <w:spacing w:after="120"/>
        <w:ind w:left="270"/>
        <w:jc w:val="both"/>
      </w:pPr>
      <w:r>
        <w:rPr>
          <w:b/>
        </w:rPr>
        <w:t xml:space="preserve">Secţiunea a 5-a </w:t>
      </w:r>
    </w:p>
    <w:p w:rsidR="00031B4E" w:rsidRDefault="00D74BF6">
      <w:pPr>
        <w:spacing w:after="120"/>
        <w:ind w:left="270"/>
        <w:jc w:val="both"/>
      </w:pPr>
      <w:r>
        <w:rPr>
          <w:b/>
        </w:rPr>
        <w:t>Efectele proiectului de act normativ asupra legislaţiei în vigoare</w:t>
      </w:r>
    </w:p>
    <w:tbl>
      <w:tblPr>
        <w:tblW w:w="10534" w:type="dxa"/>
        <w:tblInd w:w="221" w:type="dxa"/>
        <w:tblLayout w:type="fixed"/>
        <w:tblLook w:val="04A0" w:firstRow="1" w:lastRow="0" w:firstColumn="1" w:lastColumn="0" w:noHBand="0" w:noVBand="1"/>
      </w:tblPr>
      <w:tblGrid>
        <w:gridCol w:w="10534"/>
      </w:tblGrid>
      <w:tr w:rsidR="00031B4E">
        <w:trPr>
          <w:trHeight w:val="561"/>
        </w:trPr>
        <w:tc>
          <w:tcPr>
            <w:tcW w:w="10534" w:type="dxa"/>
            <w:tcBorders>
              <w:top w:val="single" w:sz="4" w:space="0" w:color="000000"/>
              <w:left w:val="single" w:sz="4" w:space="0" w:color="000000"/>
              <w:bottom w:val="single" w:sz="4" w:space="0" w:color="000000"/>
              <w:right w:val="single" w:sz="4" w:space="0" w:color="000000"/>
            </w:tcBorders>
          </w:tcPr>
          <w:p w:rsidR="00031B4E" w:rsidRDefault="00D74BF6">
            <w:pPr>
              <w:widowControl w:val="0"/>
              <w:spacing w:after="120"/>
              <w:jc w:val="both"/>
            </w:pPr>
            <w:r>
              <w:rPr>
                <w:b/>
                <w:bCs/>
              </w:rPr>
              <w:t>5.1. Măsuri normative necesare pentru aplicarea prevederilor proiectului de act normativ</w:t>
            </w:r>
          </w:p>
          <w:p w:rsidR="00031B4E" w:rsidRDefault="00D74BF6">
            <w:pPr>
              <w:widowControl w:val="0"/>
              <w:jc w:val="both"/>
            </w:pPr>
            <w:r>
              <w:rPr>
                <w:b/>
                <w:bCs/>
              </w:rPr>
              <w:t>a) acte normative ce vor fi modificate sau abrogate ca urmare a intrării în vigoare a proiectului de act normativ.</w:t>
            </w:r>
          </w:p>
          <w:p w:rsidR="00031B4E" w:rsidRDefault="00031B4E">
            <w:pPr>
              <w:widowControl w:val="0"/>
              <w:jc w:val="both"/>
              <w:rPr>
                <w:rFonts w:cs="Arial"/>
              </w:rPr>
            </w:pPr>
          </w:p>
          <w:p w:rsidR="00031B4E" w:rsidRDefault="00D74BF6">
            <w:pPr>
              <w:widowControl w:val="0"/>
              <w:tabs>
                <w:tab w:val="left" w:pos="201"/>
              </w:tabs>
              <w:jc w:val="both"/>
            </w:pPr>
            <w:r>
              <w:rPr>
                <w:b/>
                <w:bCs/>
              </w:rPr>
              <w:t>5.2. Impactul asupra legislației în domeniul achizițiilor publice</w:t>
            </w:r>
          </w:p>
          <w:p w:rsidR="00031B4E" w:rsidRDefault="00031B4E">
            <w:pPr>
              <w:widowControl w:val="0"/>
              <w:tabs>
                <w:tab w:val="left" w:pos="201"/>
              </w:tabs>
              <w:jc w:val="both"/>
              <w:rPr>
                <w:color w:val="FF0000"/>
              </w:rPr>
            </w:pPr>
          </w:p>
          <w:p w:rsidR="00031B4E" w:rsidRDefault="00D74BF6">
            <w:pPr>
              <w:widowControl w:val="0"/>
              <w:tabs>
                <w:tab w:val="left" w:pos="201"/>
              </w:tabs>
              <w:jc w:val="both"/>
            </w:pPr>
            <w:r>
              <w:rPr>
                <w:b/>
                <w:bCs/>
              </w:rPr>
              <w:t>5.3. Conformitatea  proiectului de act normativ cu legislaţia UE (în cazul proiectelor ce transpun sau asigură aplicarea unor prevederi de drept UE)</w:t>
            </w:r>
          </w:p>
          <w:p w:rsidR="00031B4E" w:rsidRDefault="00031B4E">
            <w:pPr>
              <w:widowControl w:val="0"/>
              <w:tabs>
                <w:tab w:val="left" w:pos="201"/>
              </w:tabs>
              <w:jc w:val="both"/>
              <w:rPr>
                <w:b/>
                <w:bCs/>
              </w:rPr>
            </w:pPr>
          </w:p>
          <w:p w:rsidR="00031B4E" w:rsidRDefault="00D74BF6">
            <w:pPr>
              <w:widowControl w:val="0"/>
              <w:tabs>
                <w:tab w:val="left" w:pos="201"/>
              </w:tabs>
              <w:jc w:val="both"/>
            </w:pPr>
            <w:r>
              <w:rPr>
                <w:b/>
                <w:bCs/>
              </w:rPr>
              <w:t>5.3.1. Măsuri normative necesare transpunerii directivelor UE</w:t>
            </w:r>
          </w:p>
          <w:p w:rsidR="00031B4E" w:rsidRDefault="00031B4E">
            <w:pPr>
              <w:widowControl w:val="0"/>
              <w:tabs>
                <w:tab w:val="left" w:pos="201"/>
              </w:tabs>
              <w:jc w:val="both"/>
              <w:rPr>
                <w:b/>
                <w:bCs/>
              </w:rPr>
            </w:pPr>
          </w:p>
          <w:p w:rsidR="00031B4E" w:rsidRDefault="00D74BF6">
            <w:pPr>
              <w:widowControl w:val="0"/>
              <w:tabs>
                <w:tab w:val="left" w:pos="201"/>
              </w:tabs>
              <w:jc w:val="both"/>
            </w:pPr>
            <w:r>
              <w:rPr>
                <w:b/>
                <w:bCs/>
              </w:rPr>
              <w:t>5.3.2. Măsuri normative necesare aplicării actelor legislative UE</w:t>
            </w:r>
          </w:p>
          <w:p w:rsidR="00031B4E" w:rsidRDefault="00031B4E">
            <w:pPr>
              <w:widowControl w:val="0"/>
              <w:tabs>
                <w:tab w:val="left" w:pos="201"/>
              </w:tabs>
              <w:jc w:val="both"/>
              <w:rPr>
                <w:b/>
                <w:bCs/>
              </w:rPr>
            </w:pPr>
          </w:p>
          <w:p w:rsidR="00031B4E" w:rsidRDefault="00D74BF6">
            <w:pPr>
              <w:widowControl w:val="0"/>
              <w:tabs>
                <w:tab w:val="left" w:pos="201"/>
              </w:tabs>
              <w:jc w:val="both"/>
            </w:pPr>
            <w:r>
              <w:rPr>
                <w:b/>
                <w:bCs/>
              </w:rPr>
              <w:t>5.4. Hotărâri ale Curţii de Justiţie a Uniunii Europene –</w:t>
            </w:r>
          </w:p>
          <w:p w:rsidR="00031B4E" w:rsidRDefault="00031B4E">
            <w:pPr>
              <w:widowControl w:val="0"/>
              <w:tabs>
                <w:tab w:val="left" w:pos="201"/>
              </w:tabs>
              <w:jc w:val="both"/>
              <w:rPr>
                <w:color w:val="FF0000"/>
              </w:rPr>
            </w:pPr>
          </w:p>
          <w:p w:rsidR="00031B4E" w:rsidRDefault="00D74BF6">
            <w:pPr>
              <w:widowControl w:val="0"/>
              <w:tabs>
                <w:tab w:val="left" w:pos="201"/>
              </w:tabs>
              <w:jc w:val="both"/>
            </w:pPr>
            <w:r>
              <w:rPr>
                <w:b/>
                <w:bCs/>
              </w:rPr>
              <w:t>5.5. Alte acte normative şi/sau documente internaţionale din care decurg angajamente</w:t>
            </w:r>
          </w:p>
          <w:p w:rsidR="00031B4E" w:rsidRDefault="00031B4E">
            <w:pPr>
              <w:widowControl w:val="0"/>
              <w:tabs>
                <w:tab w:val="left" w:pos="201"/>
              </w:tabs>
              <w:jc w:val="both"/>
              <w:rPr>
                <w:color w:val="FF0000"/>
              </w:rPr>
            </w:pPr>
          </w:p>
          <w:p w:rsidR="00031B4E" w:rsidRDefault="00D74BF6">
            <w:pPr>
              <w:widowControl w:val="0"/>
              <w:tabs>
                <w:tab w:val="left" w:pos="201"/>
              </w:tabs>
              <w:jc w:val="both"/>
            </w:pPr>
            <w:r>
              <w:rPr>
                <w:b/>
                <w:bCs/>
              </w:rPr>
              <w:lastRenderedPageBreak/>
              <w:t>5.6. Alte informații</w:t>
            </w:r>
          </w:p>
          <w:p w:rsidR="00031B4E" w:rsidRDefault="00031B4E">
            <w:pPr>
              <w:widowControl w:val="0"/>
              <w:tabs>
                <w:tab w:val="left" w:pos="201"/>
              </w:tabs>
              <w:jc w:val="both"/>
              <w:rPr>
                <w:b/>
                <w:bCs/>
              </w:rPr>
            </w:pPr>
          </w:p>
          <w:p w:rsidR="00031B4E" w:rsidRDefault="00031B4E">
            <w:pPr>
              <w:widowControl w:val="0"/>
              <w:tabs>
                <w:tab w:val="left" w:pos="201"/>
              </w:tabs>
              <w:jc w:val="both"/>
            </w:pPr>
          </w:p>
        </w:tc>
      </w:tr>
    </w:tbl>
    <w:p w:rsidR="00031B4E" w:rsidRDefault="00D74BF6">
      <w:pPr>
        <w:spacing w:after="120"/>
      </w:pPr>
      <w:r>
        <w:rPr>
          <w:b/>
        </w:rPr>
        <w:lastRenderedPageBreak/>
        <w:t xml:space="preserve">   Secțiunea a 6-a</w:t>
      </w:r>
    </w:p>
    <w:p w:rsidR="00031B4E" w:rsidRDefault="00D74BF6">
      <w:pPr>
        <w:spacing w:after="120"/>
        <w:ind w:firstLine="180"/>
      </w:pPr>
      <w:r>
        <w:rPr>
          <w:b/>
        </w:rPr>
        <w:t>Consultările efectuate în vederea elaborării proiectului de act normativ</w:t>
      </w:r>
    </w:p>
    <w:tbl>
      <w:tblPr>
        <w:tblW w:w="10534" w:type="dxa"/>
        <w:tblInd w:w="221" w:type="dxa"/>
        <w:tblLayout w:type="fixed"/>
        <w:tblLook w:val="04A0" w:firstRow="1" w:lastRow="0" w:firstColumn="1" w:lastColumn="0" w:noHBand="0" w:noVBand="1"/>
      </w:tblPr>
      <w:tblGrid>
        <w:gridCol w:w="10534"/>
      </w:tblGrid>
      <w:tr w:rsidR="00031B4E">
        <w:tc>
          <w:tcPr>
            <w:tcW w:w="10534" w:type="dxa"/>
            <w:tcBorders>
              <w:top w:val="single" w:sz="4" w:space="0" w:color="000000"/>
              <w:left w:val="single" w:sz="4" w:space="0" w:color="000000"/>
              <w:bottom w:val="single" w:sz="4" w:space="0" w:color="000000"/>
              <w:right w:val="single" w:sz="4" w:space="0" w:color="000000"/>
            </w:tcBorders>
          </w:tcPr>
          <w:p w:rsidR="00031B4E" w:rsidRDefault="00D74BF6">
            <w:pPr>
              <w:widowControl w:val="0"/>
              <w:jc w:val="both"/>
            </w:pPr>
            <w:r>
              <w:rPr>
                <w:b/>
                <w:bCs/>
              </w:rPr>
              <w:t>6.1. Informații privind neaplicarea procedurii de participare la elaborarea actelor normative</w:t>
            </w:r>
          </w:p>
          <w:p w:rsidR="00031B4E" w:rsidRDefault="00031B4E">
            <w:pPr>
              <w:widowControl w:val="0"/>
              <w:jc w:val="both"/>
              <w:rPr>
                <w:bCs/>
                <w:color w:val="000000" w:themeColor="text1"/>
              </w:rPr>
            </w:pPr>
          </w:p>
          <w:p w:rsidR="00031B4E" w:rsidRDefault="00D74BF6">
            <w:pPr>
              <w:widowControl w:val="0"/>
              <w:jc w:val="both"/>
            </w:pPr>
            <w:r>
              <w:rPr>
                <w:b/>
                <w:bCs/>
              </w:rPr>
              <w:t>6.2. Informaţii privind procesul de consultare cu organizaţii neguvernamentale, institute de cercetare şi alte organisme implicate</w:t>
            </w:r>
          </w:p>
          <w:p w:rsidR="00031B4E" w:rsidRDefault="00031B4E">
            <w:pPr>
              <w:widowControl w:val="0"/>
              <w:jc w:val="both"/>
              <w:rPr>
                <w:b/>
                <w:bCs/>
              </w:rPr>
            </w:pPr>
          </w:p>
          <w:p w:rsidR="00031B4E" w:rsidRDefault="00D74BF6">
            <w:pPr>
              <w:widowControl w:val="0"/>
              <w:jc w:val="both"/>
            </w:pPr>
            <w:r>
              <w:rPr>
                <w:bCs/>
              </w:rPr>
              <w:t>Au fost organizate întâlniri cu reprezentanți ai mediului de afaceri și ai organizațiilor patronale din domeniul transporturilor rutiere, cum ar fi: Federația Operatorilor Români de Transport, Confederația Patronală CONCORDIA, Asociația Companiilor de Distribuție de Bunuri din România.</w:t>
            </w:r>
          </w:p>
          <w:p w:rsidR="00031B4E" w:rsidRDefault="00031B4E">
            <w:pPr>
              <w:widowControl w:val="0"/>
              <w:jc w:val="both"/>
              <w:rPr>
                <w:bCs/>
              </w:rPr>
            </w:pPr>
          </w:p>
          <w:p w:rsidR="00031B4E" w:rsidRDefault="00D74BF6">
            <w:pPr>
              <w:widowControl w:val="0"/>
              <w:jc w:val="both"/>
            </w:pPr>
            <w:r>
              <w:rPr>
                <w:b/>
                <w:bCs/>
              </w:rPr>
              <w:t>6.3. Informații despre consultările organizate cu autoritățile administrației publice locale</w:t>
            </w:r>
          </w:p>
          <w:p w:rsidR="00031B4E" w:rsidRDefault="00031B4E">
            <w:pPr>
              <w:widowControl w:val="0"/>
              <w:jc w:val="both"/>
              <w:rPr>
                <w:b/>
                <w:bCs/>
              </w:rPr>
            </w:pPr>
          </w:p>
          <w:p w:rsidR="00031B4E" w:rsidRDefault="00D74BF6">
            <w:pPr>
              <w:widowControl w:val="0"/>
              <w:jc w:val="both"/>
            </w:pPr>
            <w:r>
              <w:rPr>
                <w:b/>
                <w:bCs/>
              </w:rPr>
              <w:t>6.4. Informații privind puncte de vedere/opinii emise de organisme consultative constituite prin acte normative</w:t>
            </w:r>
          </w:p>
          <w:p w:rsidR="00031B4E" w:rsidRDefault="00031B4E">
            <w:pPr>
              <w:widowControl w:val="0"/>
              <w:jc w:val="both"/>
              <w:rPr>
                <w:b/>
                <w:bCs/>
              </w:rPr>
            </w:pPr>
          </w:p>
          <w:p w:rsidR="00031B4E" w:rsidRDefault="00D74BF6">
            <w:pPr>
              <w:widowControl w:val="0"/>
              <w:jc w:val="both"/>
            </w:pPr>
            <w:r>
              <w:rPr>
                <w:b/>
                <w:bCs/>
              </w:rPr>
              <w:t>6.5.</w:t>
            </w:r>
            <w:r>
              <w:rPr>
                <w:bCs/>
              </w:rPr>
              <w:t xml:space="preserve"> </w:t>
            </w:r>
            <w:r>
              <w:rPr>
                <w:b/>
                <w:bCs/>
              </w:rPr>
              <w:t>Informații privind avizarea de către:</w:t>
            </w:r>
          </w:p>
          <w:p w:rsidR="00031B4E" w:rsidRDefault="00031B4E">
            <w:pPr>
              <w:widowControl w:val="0"/>
              <w:jc w:val="both"/>
              <w:rPr>
                <w:b/>
                <w:bCs/>
              </w:rPr>
            </w:pPr>
          </w:p>
          <w:p w:rsidR="00031B4E" w:rsidRDefault="00D74BF6">
            <w:pPr>
              <w:pStyle w:val="ListParagraph"/>
              <w:widowControl w:val="0"/>
              <w:numPr>
                <w:ilvl w:val="0"/>
                <w:numId w:val="2"/>
              </w:numPr>
              <w:jc w:val="both"/>
            </w:pPr>
            <w:r>
              <w:t>Consiliul Legislativ  - se avizează</w:t>
            </w:r>
          </w:p>
          <w:p w:rsidR="00031B4E" w:rsidRDefault="00031B4E">
            <w:pPr>
              <w:widowControl w:val="0"/>
              <w:jc w:val="both"/>
              <w:rPr>
                <w:bCs/>
              </w:rPr>
            </w:pPr>
          </w:p>
          <w:p w:rsidR="00031B4E" w:rsidRDefault="00D74BF6">
            <w:pPr>
              <w:pStyle w:val="ListParagraph"/>
              <w:widowControl w:val="0"/>
              <w:numPr>
                <w:ilvl w:val="0"/>
                <w:numId w:val="2"/>
              </w:numPr>
              <w:jc w:val="both"/>
            </w:pPr>
            <w:r>
              <w:t>Consiliul Suprem de Apărare a Ţării</w:t>
            </w:r>
          </w:p>
          <w:p w:rsidR="00031B4E" w:rsidRDefault="00031B4E">
            <w:pPr>
              <w:pStyle w:val="ListParagraph"/>
              <w:widowControl w:val="0"/>
              <w:jc w:val="both"/>
              <w:rPr>
                <w:rFonts w:ascii="Times New Roman" w:hAnsi="Times New Roman"/>
              </w:rPr>
            </w:pPr>
          </w:p>
          <w:p w:rsidR="00031B4E" w:rsidRDefault="00D74BF6">
            <w:pPr>
              <w:pStyle w:val="ListParagraph"/>
              <w:widowControl w:val="0"/>
              <w:numPr>
                <w:ilvl w:val="0"/>
                <w:numId w:val="2"/>
              </w:numPr>
              <w:jc w:val="both"/>
            </w:pPr>
            <w:r>
              <w:t>Consiliul Economic şi Social – se avizează</w:t>
            </w:r>
          </w:p>
          <w:p w:rsidR="00031B4E" w:rsidRDefault="00031B4E">
            <w:pPr>
              <w:widowControl w:val="0"/>
              <w:jc w:val="both"/>
              <w:rPr>
                <w:bCs/>
              </w:rPr>
            </w:pPr>
          </w:p>
          <w:p w:rsidR="00031B4E" w:rsidRDefault="00D74BF6">
            <w:pPr>
              <w:pStyle w:val="ListParagraph"/>
              <w:widowControl w:val="0"/>
              <w:numPr>
                <w:ilvl w:val="0"/>
                <w:numId w:val="2"/>
              </w:numPr>
              <w:jc w:val="both"/>
            </w:pPr>
            <w:r>
              <w:t>Consiliul Concurenţei</w:t>
            </w:r>
          </w:p>
          <w:p w:rsidR="00031B4E" w:rsidRDefault="00031B4E">
            <w:pPr>
              <w:pStyle w:val="ListParagraph"/>
              <w:widowControl w:val="0"/>
              <w:jc w:val="both"/>
              <w:rPr>
                <w:rFonts w:ascii="Times New Roman" w:hAnsi="Times New Roman"/>
              </w:rPr>
            </w:pPr>
          </w:p>
          <w:p w:rsidR="00031B4E" w:rsidRDefault="00D74BF6">
            <w:pPr>
              <w:pStyle w:val="ListParagraph"/>
              <w:widowControl w:val="0"/>
              <w:numPr>
                <w:ilvl w:val="0"/>
                <w:numId w:val="2"/>
              </w:numPr>
              <w:jc w:val="both"/>
            </w:pPr>
            <w:r>
              <w:t>Curtea de Conturi</w:t>
            </w:r>
          </w:p>
          <w:p w:rsidR="00031B4E" w:rsidRDefault="00031B4E">
            <w:pPr>
              <w:pStyle w:val="ListParagraph"/>
              <w:widowControl w:val="0"/>
              <w:jc w:val="both"/>
              <w:rPr>
                <w:rFonts w:ascii="Times New Roman" w:hAnsi="Times New Roman"/>
              </w:rPr>
            </w:pPr>
          </w:p>
          <w:p w:rsidR="00031B4E" w:rsidRDefault="00D74BF6">
            <w:pPr>
              <w:widowControl w:val="0"/>
              <w:spacing w:after="120"/>
              <w:jc w:val="both"/>
              <w:rPr>
                <w:b/>
                <w:bCs/>
              </w:rPr>
            </w:pPr>
            <w:r>
              <w:rPr>
                <w:b/>
                <w:bCs/>
              </w:rPr>
              <w:t>6.6. Alte informații</w:t>
            </w:r>
          </w:p>
        </w:tc>
      </w:tr>
    </w:tbl>
    <w:p w:rsidR="00031B4E" w:rsidRDefault="00D74BF6">
      <w:pPr>
        <w:pStyle w:val="BodyTextIndent2"/>
        <w:spacing w:before="0" w:line="240" w:lineRule="auto"/>
        <w:ind w:left="180" w:right="98" w:firstLine="540"/>
        <w:jc w:val="both"/>
        <w:rPr>
          <w:sz w:val="24"/>
        </w:rPr>
      </w:pPr>
      <w:r>
        <w:rPr>
          <w:bCs w:val="0"/>
          <w:sz w:val="24"/>
        </w:rPr>
        <w:t xml:space="preserve">Secţiunea a 7-a  </w:t>
      </w:r>
    </w:p>
    <w:p w:rsidR="00031B4E" w:rsidRDefault="00D74BF6">
      <w:pPr>
        <w:pStyle w:val="BodyTextIndent2"/>
        <w:spacing w:before="0" w:line="240" w:lineRule="auto"/>
        <w:ind w:left="180" w:right="98" w:firstLine="540"/>
        <w:jc w:val="both"/>
        <w:rPr>
          <w:sz w:val="24"/>
        </w:rPr>
      </w:pPr>
      <w:r>
        <w:rPr>
          <w:bCs w:val="0"/>
          <w:sz w:val="24"/>
        </w:rPr>
        <w:t xml:space="preserve">Activităţi de informare publică privind elaborarea şi implementarea </w:t>
      </w:r>
      <w:bookmarkStart w:id="2" w:name="_Hlk100229941"/>
      <w:r>
        <w:rPr>
          <w:bCs w:val="0"/>
          <w:sz w:val="24"/>
        </w:rPr>
        <w:t>proiectului de act normativ</w:t>
      </w:r>
      <w:bookmarkEnd w:id="2"/>
    </w:p>
    <w:tbl>
      <w:tblPr>
        <w:tblW w:w="10534" w:type="dxa"/>
        <w:tblInd w:w="221" w:type="dxa"/>
        <w:tblLayout w:type="fixed"/>
        <w:tblLook w:val="04A0" w:firstRow="1" w:lastRow="0" w:firstColumn="1" w:lastColumn="0" w:noHBand="0" w:noVBand="1"/>
      </w:tblPr>
      <w:tblGrid>
        <w:gridCol w:w="10534"/>
      </w:tblGrid>
      <w:tr w:rsidR="00031B4E">
        <w:tc>
          <w:tcPr>
            <w:tcW w:w="10534" w:type="dxa"/>
            <w:tcBorders>
              <w:top w:val="single" w:sz="4" w:space="0" w:color="000000"/>
              <w:left w:val="single" w:sz="4" w:space="0" w:color="000000"/>
              <w:bottom w:val="single" w:sz="4" w:space="0" w:color="000000"/>
              <w:right w:val="single" w:sz="4" w:space="0" w:color="000000"/>
            </w:tcBorders>
          </w:tcPr>
          <w:p w:rsidR="00031B4E" w:rsidRDefault="00031B4E">
            <w:pPr>
              <w:widowControl w:val="0"/>
              <w:jc w:val="both"/>
              <w:rPr>
                <w:b/>
                <w:bCs/>
              </w:rPr>
            </w:pPr>
          </w:p>
          <w:p w:rsidR="00031B4E" w:rsidRDefault="00D74BF6">
            <w:pPr>
              <w:widowControl w:val="0"/>
              <w:jc w:val="both"/>
            </w:pPr>
            <w:r>
              <w:rPr>
                <w:b/>
                <w:bCs/>
              </w:rPr>
              <w:t>7.1. Informarea societăţii civile cu privire la elaborarea proiectului de act normativ</w:t>
            </w:r>
          </w:p>
          <w:p w:rsidR="00031B4E" w:rsidRDefault="00D74BF6">
            <w:pPr>
              <w:widowControl w:val="0"/>
              <w:jc w:val="both"/>
            </w:pPr>
            <w:r>
              <w:t>Prezentul act normativ a fost elaborat cu aplicarea prevederilor art. 7 alin. (13) din Legea nr. 52/2003 privind transparența decizională în administrația publică, cu modificările și completările ulterioare.</w:t>
            </w:r>
          </w:p>
          <w:p w:rsidR="00031B4E" w:rsidRDefault="00D74BF6">
            <w:pPr>
              <w:widowControl w:val="0"/>
              <w:jc w:val="both"/>
              <w:rPr>
                <w:b/>
                <w:bCs/>
                <w:color w:val="FF0000"/>
              </w:rPr>
            </w:pPr>
            <w:r>
              <w:t>Proiectul de act normativ a fost publicat pe site-ul Ministerului Finanţelor în data de ..... şi s-a dezbătut în cadrul Comisiei de Dialog Social la care au participat reprezentanţi ai organismelor interesate, în data de ......</w:t>
            </w:r>
          </w:p>
          <w:p w:rsidR="00031B4E" w:rsidRDefault="00031B4E">
            <w:pPr>
              <w:widowControl w:val="0"/>
              <w:jc w:val="both"/>
              <w:rPr>
                <w:b/>
                <w:bCs/>
                <w:color w:val="FF0000"/>
              </w:rPr>
            </w:pPr>
          </w:p>
          <w:p w:rsidR="00031B4E" w:rsidRDefault="00D74BF6">
            <w:pPr>
              <w:widowControl w:val="0"/>
              <w:jc w:val="both"/>
            </w:pPr>
            <w:r>
              <w:rPr>
                <w:color w:val="FF0000"/>
              </w:rPr>
              <w:t xml:space="preserve"> </w:t>
            </w:r>
            <w:r>
              <w:rPr>
                <w:b/>
                <w:bCs/>
              </w:rPr>
              <w:t>7.2. Informarea societăţii civile cu privire la eventualul impact asupra mediului în urma implementării proiectului de act normativ, precum și efectele asupra sănătății și securității cetățenilor sau diversității biologice</w:t>
            </w:r>
          </w:p>
          <w:p w:rsidR="00031B4E" w:rsidRDefault="00031B4E">
            <w:pPr>
              <w:widowControl w:val="0"/>
              <w:jc w:val="both"/>
              <w:rPr>
                <w:b/>
                <w:bCs/>
              </w:rPr>
            </w:pPr>
          </w:p>
          <w:p w:rsidR="00031B4E" w:rsidRDefault="00D74BF6">
            <w:pPr>
              <w:widowControl w:val="0"/>
              <w:jc w:val="both"/>
            </w:pPr>
            <w:r>
              <w:rPr>
                <w:b/>
                <w:bCs/>
              </w:rPr>
              <w:t>7.3. Alte informații</w:t>
            </w:r>
          </w:p>
          <w:p w:rsidR="00031B4E" w:rsidRDefault="00031B4E">
            <w:pPr>
              <w:widowControl w:val="0"/>
              <w:jc w:val="both"/>
              <w:rPr>
                <w:b/>
                <w:bCs/>
              </w:rPr>
            </w:pPr>
          </w:p>
        </w:tc>
      </w:tr>
    </w:tbl>
    <w:p w:rsidR="00031B4E" w:rsidRDefault="00031B4E">
      <w:pPr>
        <w:spacing w:after="120"/>
        <w:ind w:left="180" w:firstLine="540"/>
        <w:rPr>
          <w:b/>
        </w:rPr>
      </w:pPr>
    </w:p>
    <w:p w:rsidR="00031B4E" w:rsidRDefault="00D74BF6">
      <w:pPr>
        <w:spacing w:after="120"/>
        <w:ind w:left="180" w:firstLine="540"/>
      </w:pPr>
      <w:r>
        <w:rPr>
          <w:b/>
        </w:rPr>
        <w:t xml:space="preserve">Secţiunea a 8- a  </w:t>
      </w:r>
    </w:p>
    <w:p w:rsidR="00031B4E" w:rsidRDefault="00D74BF6">
      <w:pPr>
        <w:spacing w:after="120"/>
        <w:ind w:left="180" w:firstLine="540"/>
      </w:pPr>
      <w:r>
        <w:rPr>
          <w:b/>
        </w:rPr>
        <w:t>Măsuri privind implementarea, monitorizarea și evaluarea proiectului de act normativ</w:t>
      </w:r>
    </w:p>
    <w:tbl>
      <w:tblPr>
        <w:tblW w:w="10553" w:type="dxa"/>
        <w:tblInd w:w="221" w:type="dxa"/>
        <w:tblLayout w:type="fixed"/>
        <w:tblLook w:val="04A0" w:firstRow="1" w:lastRow="0" w:firstColumn="1" w:lastColumn="0" w:noHBand="0" w:noVBand="1"/>
      </w:tblPr>
      <w:tblGrid>
        <w:gridCol w:w="10553"/>
      </w:tblGrid>
      <w:tr w:rsidR="00031B4E">
        <w:tc>
          <w:tcPr>
            <w:tcW w:w="10553" w:type="dxa"/>
            <w:tcBorders>
              <w:top w:val="single" w:sz="4" w:space="0" w:color="000000"/>
              <w:left w:val="single" w:sz="4" w:space="0" w:color="000000"/>
              <w:bottom w:val="single" w:sz="4" w:space="0" w:color="000000"/>
              <w:right w:val="single" w:sz="4" w:space="0" w:color="000000"/>
            </w:tcBorders>
          </w:tcPr>
          <w:p w:rsidR="00031B4E" w:rsidRDefault="00D74BF6">
            <w:pPr>
              <w:pStyle w:val="Heading1"/>
              <w:widowControl w:val="0"/>
              <w:spacing w:line="240" w:lineRule="auto"/>
              <w:jc w:val="both"/>
              <w:rPr>
                <w:sz w:val="24"/>
              </w:rPr>
            </w:pPr>
            <w:r>
              <w:rPr>
                <w:b/>
                <w:bCs/>
                <w:sz w:val="24"/>
              </w:rPr>
              <w:t>8.1. Măsuri de punere în aplicare a proiectului de act normativ</w:t>
            </w:r>
          </w:p>
          <w:p w:rsidR="00031B4E" w:rsidRDefault="00D74BF6">
            <w:pPr>
              <w:widowControl w:val="0"/>
            </w:pPr>
            <w:r>
              <w:rPr>
                <w:b/>
                <w:bCs/>
              </w:rPr>
              <w:t>8.2. Alte informaţii</w:t>
            </w:r>
          </w:p>
        </w:tc>
      </w:tr>
    </w:tbl>
    <w:p w:rsidR="00031B4E" w:rsidRDefault="00031B4E">
      <w:pPr>
        <w:jc w:val="both"/>
      </w:pPr>
    </w:p>
    <w:p w:rsidR="00031B4E" w:rsidRDefault="00D74BF6">
      <w:pPr>
        <w:spacing w:line="276" w:lineRule="auto"/>
        <w:ind w:right="-262"/>
        <w:jc w:val="both"/>
      </w:pPr>
      <w:r>
        <w:t>Având în vedere cele prezentate, a fost elaborat proiectul de Ordonanță de urgență a Guvernului pentru modificarea unor acte normative în domeniul e-Transport, e-TVA și e- Factura, precum și pentru reglementarea unor măsuri fiscal-bugetare.</w:t>
      </w:r>
    </w:p>
    <w:p w:rsidR="00031B4E" w:rsidRDefault="00031B4E">
      <w:pPr>
        <w:spacing w:line="276" w:lineRule="auto"/>
        <w:ind w:left="-360" w:right="-262"/>
        <w:jc w:val="both"/>
      </w:pPr>
    </w:p>
    <w:p w:rsidR="00031B4E" w:rsidRDefault="00031B4E">
      <w:pPr>
        <w:spacing w:line="276" w:lineRule="auto"/>
        <w:ind w:left="-426"/>
        <w:jc w:val="both"/>
      </w:pPr>
    </w:p>
    <w:p w:rsidR="00031B4E" w:rsidRDefault="00031B4E">
      <w:pPr>
        <w:spacing w:line="276" w:lineRule="auto"/>
        <w:ind w:left="-426"/>
        <w:jc w:val="both"/>
      </w:pPr>
    </w:p>
    <w:p w:rsidR="00031B4E" w:rsidRDefault="00D74BF6">
      <w:pPr>
        <w:spacing w:line="276" w:lineRule="auto"/>
        <w:ind w:left="-426"/>
        <w:jc w:val="center"/>
      </w:pPr>
      <w:r>
        <w:t>MINISTRUL FINANȚELOR</w:t>
      </w:r>
    </w:p>
    <w:p w:rsidR="00031B4E" w:rsidRDefault="00D74BF6">
      <w:pPr>
        <w:spacing w:line="276" w:lineRule="auto"/>
        <w:ind w:left="-426"/>
        <w:jc w:val="center"/>
      </w:pPr>
      <w:r>
        <w:t>Ioan – Marcel BOLOȘ</w:t>
      </w:r>
    </w:p>
    <w:p w:rsidR="00031B4E" w:rsidRDefault="00031B4E">
      <w:pPr>
        <w:spacing w:line="276" w:lineRule="auto"/>
        <w:ind w:left="-426"/>
        <w:jc w:val="center"/>
      </w:pPr>
    </w:p>
    <w:p w:rsidR="00031B4E" w:rsidRDefault="00031B4E">
      <w:pPr>
        <w:spacing w:line="276" w:lineRule="auto"/>
        <w:ind w:left="-426"/>
        <w:jc w:val="center"/>
      </w:pPr>
    </w:p>
    <w:p w:rsidR="00031B4E" w:rsidRDefault="00031B4E">
      <w:pPr>
        <w:spacing w:line="276" w:lineRule="auto"/>
        <w:ind w:left="-426"/>
        <w:jc w:val="center"/>
      </w:pPr>
    </w:p>
    <w:p w:rsidR="00031B4E" w:rsidRDefault="00D74BF6">
      <w:pPr>
        <w:spacing w:line="276" w:lineRule="auto"/>
        <w:ind w:left="-426"/>
        <w:jc w:val="center"/>
      </w:pPr>
      <w:r>
        <w:t>AVIZĂM FAVORABIL</w:t>
      </w:r>
    </w:p>
    <w:p w:rsidR="00031B4E" w:rsidRDefault="00031B4E">
      <w:pPr>
        <w:spacing w:line="276" w:lineRule="auto"/>
        <w:ind w:left="-426"/>
        <w:jc w:val="center"/>
      </w:pPr>
    </w:p>
    <w:p w:rsidR="00031B4E" w:rsidRDefault="00D74BF6">
      <w:pPr>
        <w:spacing w:line="276" w:lineRule="auto"/>
        <w:ind w:left="-426"/>
        <w:jc w:val="center"/>
      </w:pPr>
      <w:r>
        <w:t>VICEPRIM-MINISTRU</w:t>
      </w:r>
    </w:p>
    <w:p w:rsidR="00031B4E" w:rsidRDefault="00D74BF6">
      <w:pPr>
        <w:spacing w:line="276" w:lineRule="auto"/>
        <w:ind w:left="-426"/>
        <w:jc w:val="center"/>
      </w:pPr>
      <w:r>
        <w:t>MINISTRUL AFACERILOR INTERNE</w:t>
      </w:r>
    </w:p>
    <w:p w:rsidR="00031B4E" w:rsidRDefault="00D74BF6">
      <w:pPr>
        <w:spacing w:line="276" w:lineRule="auto"/>
        <w:ind w:left="-426"/>
        <w:jc w:val="center"/>
      </w:pPr>
      <w:r>
        <w:t>Marian Cătălin PREDOIU</w:t>
      </w:r>
    </w:p>
    <w:p w:rsidR="00031B4E" w:rsidRDefault="00031B4E">
      <w:pPr>
        <w:spacing w:line="276" w:lineRule="auto"/>
        <w:ind w:left="-426"/>
        <w:jc w:val="center"/>
      </w:pPr>
    </w:p>
    <w:p w:rsidR="00031B4E" w:rsidRDefault="00031B4E">
      <w:pPr>
        <w:spacing w:line="276" w:lineRule="auto"/>
        <w:ind w:left="-426"/>
        <w:jc w:val="center"/>
      </w:pPr>
    </w:p>
    <w:p w:rsidR="00031B4E" w:rsidRDefault="00031B4E">
      <w:pPr>
        <w:ind w:left="-426"/>
        <w:jc w:val="center"/>
        <w:rPr>
          <w:color w:val="000000" w:themeColor="text1"/>
        </w:rPr>
      </w:pPr>
    </w:p>
    <w:p w:rsidR="00031B4E" w:rsidRDefault="00D74BF6">
      <w:pPr>
        <w:ind w:left="-426"/>
        <w:jc w:val="center"/>
      </w:pPr>
      <w:r>
        <w:rPr>
          <w:color w:val="000000" w:themeColor="text1"/>
        </w:rPr>
        <w:t xml:space="preserve">VICEPRIM-MINISTRU </w:t>
      </w:r>
    </w:p>
    <w:p w:rsidR="00031B4E" w:rsidRDefault="00D74BF6">
      <w:pPr>
        <w:ind w:left="-426"/>
        <w:jc w:val="center"/>
      </w:pPr>
      <w:r>
        <w:rPr>
          <w:color w:val="000000" w:themeColor="text1"/>
        </w:rPr>
        <w:t>Marian NEACȘU</w:t>
      </w:r>
    </w:p>
    <w:p w:rsidR="00031B4E" w:rsidRDefault="00031B4E">
      <w:pPr>
        <w:ind w:left="-426"/>
        <w:jc w:val="center"/>
        <w:rPr>
          <w:color w:val="000000" w:themeColor="text1"/>
        </w:rPr>
      </w:pPr>
    </w:p>
    <w:p w:rsidR="00031B4E" w:rsidRDefault="00031B4E">
      <w:pPr>
        <w:ind w:left="-426"/>
        <w:jc w:val="center"/>
        <w:rPr>
          <w:color w:val="000000" w:themeColor="text1"/>
        </w:rPr>
      </w:pPr>
    </w:p>
    <w:p w:rsidR="008029CB" w:rsidRPr="00EF5F27" w:rsidRDefault="008029CB" w:rsidP="008029CB">
      <w:pPr>
        <w:autoSpaceDE w:val="0"/>
        <w:autoSpaceDN w:val="0"/>
        <w:adjustRightInd w:val="0"/>
        <w:jc w:val="center"/>
        <w:rPr>
          <w:bCs/>
          <w:lang w:eastAsia="en-GB"/>
        </w:rPr>
      </w:pPr>
      <w:r w:rsidRPr="00EF5F27">
        <w:rPr>
          <w:bCs/>
          <w:lang w:eastAsia="en-GB"/>
        </w:rPr>
        <w:t>Ministrul sănătății                                                                             Ministrul muncii și solidarității sociale</w:t>
      </w:r>
    </w:p>
    <w:p w:rsidR="008029CB" w:rsidRPr="00EF5F27" w:rsidRDefault="00EF5F27" w:rsidP="008B188A">
      <w:pPr>
        <w:autoSpaceDE w:val="0"/>
        <w:autoSpaceDN w:val="0"/>
        <w:adjustRightInd w:val="0"/>
        <w:rPr>
          <w:bCs/>
          <w:lang w:eastAsia="en-GB"/>
        </w:rPr>
      </w:pPr>
      <w:r>
        <w:rPr>
          <w:bCs/>
          <w:lang w:eastAsia="en-GB"/>
        </w:rPr>
        <w:t xml:space="preserve">   </w:t>
      </w:r>
      <w:r w:rsidR="008029CB" w:rsidRPr="00EF5F27">
        <w:rPr>
          <w:bCs/>
          <w:lang w:eastAsia="en-GB"/>
        </w:rPr>
        <w:t xml:space="preserve">Alexandru RAFILA                                            </w:t>
      </w:r>
      <w:r>
        <w:rPr>
          <w:bCs/>
          <w:lang w:eastAsia="en-GB"/>
        </w:rPr>
        <w:t xml:space="preserve">   </w:t>
      </w:r>
      <w:r w:rsidR="008029CB" w:rsidRPr="00EF5F27">
        <w:rPr>
          <w:bCs/>
          <w:lang w:eastAsia="en-GB"/>
        </w:rPr>
        <w:t xml:space="preserve">                              Simona BUCURA-OPRESCU</w:t>
      </w:r>
    </w:p>
    <w:p w:rsidR="008029CB" w:rsidRPr="00EF5F27" w:rsidRDefault="008029CB" w:rsidP="008029CB">
      <w:pPr>
        <w:autoSpaceDE w:val="0"/>
        <w:autoSpaceDN w:val="0"/>
        <w:adjustRightInd w:val="0"/>
        <w:jc w:val="center"/>
        <w:rPr>
          <w:bCs/>
          <w:lang w:eastAsia="en-GB"/>
        </w:rPr>
      </w:pPr>
    </w:p>
    <w:p w:rsidR="008029CB" w:rsidRPr="00EF5F27" w:rsidRDefault="008029CB" w:rsidP="008029CB">
      <w:pPr>
        <w:autoSpaceDE w:val="0"/>
        <w:autoSpaceDN w:val="0"/>
        <w:adjustRightInd w:val="0"/>
        <w:jc w:val="center"/>
        <w:rPr>
          <w:bCs/>
          <w:lang w:eastAsia="en-GB"/>
        </w:rPr>
      </w:pPr>
    </w:p>
    <w:p w:rsidR="00031B4E" w:rsidRDefault="00031B4E">
      <w:pPr>
        <w:spacing w:line="276" w:lineRule="auto"/>
        <w:ind w:left="-426"/>
        <w:jc w:val="center"/>
      </w:pPr>
    </w:p>
    <w:p w:rsidR="00031B4E" w:rsidRDefault="00031B4E">
      <w:pPr>
        <w:spacing w:line="276" w:lineRule="auto"/>
        <w:ind w:left="-426"/>
        <w:jc w:val="center"/>
      </w:pPr>
    </w:p>
    <w:p w:rsidR="00031B4E" w:rsidRDefault="00D74BF6">
      <w:pPr>
        <w:spacing w:line="276" w:lineRule="auto"/>
        <w:ind w:left="-426"/>
        <w:jc w:val="center"/>
      </w:pPr>
      <w:r>
        <w:t>MINISTRUL JUSTIȚIEI</w:t>
      </w:r>
    </w:p>
    <w:p w:rsidR="00031B4E" w:rsidRDefault="00D74BF6">
      <w:pPr>
        <w:spacing w:line="276" w:lineRule="auto"/>
        <w:ind w:left="-426"/>
        <w:jc w:val="center"/>
      </w:pPr>
      <w:r>
        <w:t>Alina – Ștefania GORGHIU</w:t>
      </w:r>
    </w:p>
    <w:p w:rsidR="00031B4E" w:rsidRDefault="00031B4E">
      <w:pPr>
        <w:spacing w:line="276" w:lineRule="auto"/>
        <w:ind w:left="-426"/>
        <w:jc w:val="center"/>
      </w:pPr>
    </w:p>
    <w:sectPr w:rsidR="00031B4E">
      <w:footerReference w:type="even" r:id="rId9"/>
      <w:footerReference w:type="default" r:id="rId10"/>
      <w:footerReference w:type="first" r:id="rId11"/>
      <w:pgSz w:w="12240" w:h="15840"/>
      <w:pgMar w:top="737" w:right="851" w:bottom="766"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59" w:rsidRDefault="00D93D59">
      <w:r>
        <w:separator/>
      </w:r>
    </w:p>
  </w:endnote>
  <w:endnote w:type="continuationSeparator" w:id="0">
    <w:p w:rsidR="00D93D59" w:rsidRDefault="00D9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4E" w:rsidRDefault="00D74BF6">
    <w:pPr>
      <w:pStyle w:val="Footer"/>
      <w:ind w:right="360"/>
    </w:pPr>
    <w:r>
      <w:rPr>
        <w:noProof/>
        <w:lang w:val="en-US"/>
      </w:rPr>
      <mc:AlternateContent>
        <mc:Choice Requires="wps">
          <w:drawing>
            <wp:anchor distT="0" distB="0" distL="0" distR="0" simplePos="0" relativeHeight="2"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031B4E" w:rsidRDefault="00D74BF6">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Frame1" o:spid="_x0000_s1026"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" o:allowincell="f" filled="f" stroked="f" strokeweight="0">
              <v:textbox style="mso-fit-shape-to-text:t" inset="0,0,0,0">
                <w:txbxContent>
                  <w:p w:rsidR="00031B4E" w:rsidRDefault="00D74BF6">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035118"/>
      <w:docPartObj>
        <w:docPartGallery w:val="AutoText"/>
      </w:docPartObj>
    </w:sdtPr>
    <w:sdtEndPr/>
    <w:sdtContent>
      <w:p w:rsidR="00031B4E" w:rsidRDefault="00D74BF6">
        <w:pPr>
          <w:pStyle w:val="Footer"/>
          <w:jc w:val="center"/>
        </w:pPr>
        <w:r>
          <w:fldChar w:fldCharType="begin"/>
        </w:r>
        <w:r>
          <w:instrText xml:space="preserve"> PAGE </w:instrText>
        </w:r>
        <w:r>
          <w:fldChar w:fldCharType="separate"/>
        </w:r>
        <w:r w:rsidR="00FB009D">
          <w:rPr>
            <w:noProof/>
          </w:rPr>
          <w:t>1</w:t>
        </w:r>
        <w:r>
          <w:fldChar w:fldCharType="end"/>
        </w:r>
      </w:p>
    </w:sdtContent>
  </w:sdt>
  <w:p w:rsidR="00031B4E" w:rsidRDefault="00031B4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675273"/>
      <w:docPartObj>
        <w:docPartGallery w:val="AutoText"/>
      </w:docPartObj>
    </w:sdtPr>
    <w:sdtEndPr/>
    <w:sdtContent>
      <w:p w:rsidR="00031B4E" w:rsidRDefault="00D74BF6">
        <w:pPr>
          <w:pStyle w:val="Footer"/>
          <w:jc w:val="center"/>
        </w:pPr>
        <w:r>
          <w:fldChar w:fldCharType="begin"/>
        </w:r>
        <w:r>
          <w:instrText xml:space="preserve"> PAGE </w:instrText>
        </w:r>
        <w:r>
          <w:fldChar w:fldCharType="separate"/>
        </w:r>
        <w:r>
          <w:t>10</w:t>
        </w:r>
        <w:r>
          <w:fldChar w:fldCharType="end"/>
        </w:r>
      </w:p>
    </w:sdtContent>
  </w:sdt>
  <w:p w:rsidR="00031B4E" w:rsidRDefault="00031B4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59" w:rsidRDefault="00D93D59">
      <w:r>
        <w:separator/>
      </w:r>
    </w:p>
  </w:footnote>
  <w:footnote w:type="continuationSeparator" w:id="0">
    <w:p w:rsidR="00D93D59" w:rsidRDefault="00D93D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34F1"/>
    <w:multiLevelType w:val="multilevel"/>
    <w:tmpl w:val="6B1ED6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A813FBC"/>
    <w:multiLevelType w:val="multilevel"/>
    <w:tmpl w:val="9002350C"/>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3E33663"/>
    <w:multiLevelType w:val="multilevel"/>
    <w:tmpl w:val="80AA7C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gutterAtTop/>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4E"/>
    <w:rsid w:val="00031B4E"/>
    <w:rsid w:val="00176E07"/>
    <w:rsid w:val="002819CE"/>
    <w:rsid w:val="00333C3E"/>
    <w:rsid w:val="006B1035"/>
    <w:rsid w:val="008029CB"/>
    <w:rsid w:val="008B188A"/>
    <w:rsid w:val="00D74BF6"/>
    <w:rsid w:val="00D93D59"/>
    <w:rsid w:val="00EF5F27"/>
    <w:rsid w:val="00FB00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EBC30-3740-4BEF-82C7-CF99E5E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ro-RO"/>
    </w:rPr>
  </w:style>
  <w:style w:type="paragraph" w:styleId="Heading1">
    <w:name w:val="heading 1"/>
    <w:basedOn w:val="Normal"/>
    <w:next w:val="Normal"/>
    <w:link w:val="Heading1Char"/>
    <w:qFormat/>
    <w:pPr>
      <w:keepNext/>
      <w:spacing w:line="360" w:lineRule="auto"/>
      <w:outlineLvl w:val="0"/>
    </w:pPr>
    <w:rPr>
      <w:sz w:val="28"/>
    </w:rPr>
  </w:style>
  <w:style w:type="paragraph" w:styleId="Heading2">
    <w:name w:val="heading 2"/>
    <w:basedOn w:val="Normal"/>
    <w:next w:val="Normal"/>
    <w:link w:val="Heading2Char"/>
    <w:qFormat/>
    <w:pPr>
      <w:keepNext/>
      <w:jc w:val="both"/>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Pr>
      <w:sz w:val="16"/>
      <w:szCs w:val="16"/>
    </w:r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qFormat/>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qFormat/>
    <w:rPr>
      <w:rFonts w:ascii="Times New Roman" w:eastAsia="Times New Roman" w:hAnsi="Times New Roman" w:cs="Times New Roman"/>
      <w:b/>
      <w:sz w:val="28"/>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sz w:val="28"/>
      <w:szCs w:val="24"/>
      <w:lang w:val="ro-RO"/>
    </w:rPr>
  </w:style>
  <w:style w:type="character" w:customStyle="1" w:styleId="BodyText2Char">
    <w:name w:val="Body Text 2 Char"/>
    <w:basedOn w:val="DefaultParagraphFont"/>
    <w:link w:val="BodyText2"/>
    <w:semiHidden/>
    <w:qFormat/>
    <w:rPr>
      <w:rFonts w:ascii="Times New Roman" w:eastAsia="Times New Roman" w:hAnsi="Times New Roman" w:cs="Times New Roman"/>
      <w:sz w:val="28"/>
      <w:szCs w:val="24"/>
      <w:lang w:val="ro-RO"/>
    </w:rPr>
  </w:style>
  <w:style w:type="character" w:customStyle="1" w:styleId="TitleChar">
    <w:name w:val="Title Char"/>
    <w:basedOn w:val="DefaultParagraphFont"/>
    <w:link w:val="Title"/>
    <w:qFormat/>
    <w:rPr>
      <w:rFonts w:ascii="Times New Roman" w:eastAsia="Times New Roman" w:hAnsi="Times New Roman" w:cs="Times New Roman"/>
      <w:b/>
      <w:sz w:val="32"/>
      <w:szCs w:val="32"/>
      <w:lang w:val="ro-RO"/>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ro-RO"/>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ro-RO" w:eastAsia="ro-RO"/>
    </w:rPr>
  </w:style>
  <w:style w:type="character" w:customStyle="1" w:styleId="NoSpacingChar">
    <w:name w:val="No Spacing Char"/>
    <w:link w:val="NoSpacing"/>
    <w:qFormat/>
    <w:locked/>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ro-RO"/>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sz w:val="24"/>
      <w:szCs w:val="24"/>
      <w:lang w:val="ro-RO"/>
    </w:rPr>
  </w:style>
  <w:style w:type="character" w:customStyle="1" w:styleId="ListParagraphChar">
    <w:name w:val="List Paragraph Char"/>
    <w:link w:val="ListParagraph"/>
    <w:uiPriority w:val="34"/>
    <w:qFormat/>
    <w:locked/>
    <w:rPr>
      <w:sz w:val="24"/>
      <w:szCs w:val="24"/>
      <w:lang w:val="ro-RO"/>
    </w:rPr>
  </w:style>
  <w:style w:type="character" w:customStyle="1" w:styleId="ColorfulList-Accent1Char">
    <w:name w:val="Colorful List - Accent 1 Char"/>
    <w:uiPriority w:val="34"/>
    <w:qFormat/>
    <w:locked/>
    <w:rPr>
      <w:sz w:val="24"/>
      <w:szCs w:val="24"/>
      <w:lang w:val="ro-RO"/>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ro-RO"/>
    </w:rPr>
  </w:style>
  <w:style w:type="character" w:customStyle="1" w:styleId="panchor">
    <w:name w:val="panchor"/>
    <w:basedOn w:val="DefaultParagraphFont"/>
    <w:qFormat/>
  </w:style>
  <w:style w:type="character" w:customStyle="1" w:styleId="slgi">
    <w:name w:val="s_lgi"/>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qFormat/>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2">
    <w:name w:val="Body Text 2"/>
    <w:basedOn w:val="Normal"/>
    <w:link w:val="BodyText2Char"/>
    <w:semiHidden/>
    <w:qFormat/>
    <w:pPr>
      <w:jc w:val="both"/>
    </w:pPr>
    <w:rPr>
      <w:sz w:val="28"/>
    </w:rPr>
  </w:style>
  <w:style w:type="paragraph" w:styleId="BodyTextIndent2">
    <w:name w:val="Body Text Indent 2"/>
    <w:basedOn w:val="Normal"/>
    <w:link w:val="BodyTextIndent2Char"/>
    <w:semiHidden/>
    <w:qFormat/>
    <w:pPr>
      <w:spacing w:before="120" w:after="120" w:line="360" w:lineRule="auto"/>
      <w:ind w:firstLine="357"/>
    </w:pPr>
    <w:rPr>
      <w:b/>
      <w:bCs/>
      <w:sz w:val="2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HeaderandFooter">
    <w:name w:val="Header and Footer"/>
    <w:basedOn w:val="Normal"/>
    <w:qFormat/>
  </w:style>
  <w:style w:type="paragraph" w:styleId="Footer">
    <w:name w:val="footer"/>
    <w:basedOn w:val="Normal"/>
    <w:link w:val="FooterChar"/>
    <w:uiPriority w:val="99"/>
    <w:qFormat/>
    <w:pPr>
      <w:tabs>
        <w:tab w:val="center" w:pos="4536"/>
        <w:tab w:val="right" w:pos="9072"/>
      </w:tabs>
    </w:pPr>
  </w:style>
  <w:style w:type="paragraph" w:styleId="Header">
    <w:name w:val="header"/>
    <w:basedOn w:val="Normal"/>
    <w:link w:val="HeaderChar"/>
    <w:uiPriority w:val="99"/>
    <w:unhideWhenUsed/>
    <w:qFormat/>
    <w:pPr>
      <w:tabs>
        <w:tab w:val="center" w:pos="4536"/>
        <w:tab w:val="right" w:pos="9072"/>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paragraph" w:styleId="Title">
    <w:name w:val="Title"/>
    <w:basedOn w:val="Normal"/>
    <w:link w:val="TitleChar"/>
    <w:qFormat/>
    <w:pPr>
      <w:spacing w:line="360" w:lineRule="auto"/>
      <w:jc w:val="center"/>
    </w:pPr>
    <w:rPr>
      <w:b/>
      <w:sz w:val="32"/>
      <w:szCs w:val="32"/>
    </w:rPr>
  </w:style>
  <w:style w:type="paragraph" w:styleId="NoSpacing">
    <w:name w:val="No Spacing"/>
    <w:link w:val="NoSpacingChar"/>
    <w:qFormat/>
    <w:rPr>
      <w:sz w:val="22"/>
      <w:szCs w:val="22"/>
    </w:rPr>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rPr>
  </w:style>
  <w:style w:type="paragraph" w:customStyle="1" w:styleId="Revision1">
    <w:name w:val="Revision1"/>
    <w:uiPriority w:val="99"/>
    <w:semiHidden/>
    <w:qFormat/>
    <w:rPr>
      <w:rFonts w:ascii="Times New Roman" w:eastAsia="Times New Roman" w:hAnsi="Times New Roman"/>
      <w:sz w:val="24"/>
      <w:szCs w:val="24"/>
      <w:lang w:val="ro-RO"/>
    </w:rPr>
  </w:style>
  <w:style w:type="paragraph" w:customStyle="1" w:styleId="Default">
    <w:name w:val="Default"/>
    <w:qFormat/>
    <w:rPr>
      <w:rFonts w:ascii="EUAlbertina" w:eastAsiaTheme="minorHAnsi" w:hAnsi="EUAlbertina" w:cs="EUAlbertina"/>
      <w:color w:val="000000"/>
      <w:sz w:val="24"/>
      <w:szCs w:val="24"/>
    </w:rPr>
  </w:style>
  <w:style w:type="paragraph" w:customStyle="1" w:styleId="FrameContents">
    <w:name w:val="Frame Contents"/>
    <w:basedOn w:val="Normal"/>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sz w:val="24"/>
      <w:szCs w:val="24"/>
      <w:lang w:val="ro-RO"/>
    </w:rPr>
    <w:tblPr>
      <w:tblStyleRowBandSize w:val="1"/>
      <w:tblStyleColBandSize w:val="1"/>
    </w:tblPr>
    <w:tcPr>
      <w:shd w:val="clear" w:color="auto" w:fill="EEF5FB"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081CA-9907-44A8-860B-D014AB20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IULIANA-MIHAELA CERNAZEANU</dc:creator>
  <dc:description/>
  <cp:lastModifiedBy>DANIELA TANASE</cp:lastModifiedBy>
  <cp:revision>2</cp:revision>
  <cp:lastPrinted>2024-06-27T07:53:00Z</cp:lastPrinted>
  <dcterms:created xsi:type="dcterms:W3CDTF">2024-06-27T08:16:00Z</dcterms:created>
  <dcterms:modified xsi:type="dcterms:W3CDTF">2024-06-27T08:16:00Z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